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theme/theme1.xml" ContentType="application/vnd.openxmlformats-officedocument.them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customXml/_rels/item1.xml.rels" ContentType="application/vnd.openxmlformats-package.relationships+xml"/>
  <Override PartName="/customXml/itemProps1.xml" ContentType="application/vnd.openxmlformats-officedocument.customXmlProperties+xml"/>
  <Override PartName="/customXml/item1.xml" ContentType="applicatio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tbl>
      <w:tblPr>
        <w:tblStyle w:val="Grilledutableau"/>
        <w:tblW w:w="10915" w:type="dxa"/>
        <w:jc w:val="left"/>
        <w:tblInd w:w="-1026" w:type="dxa"/>
        <w:tblCellMar>
          <w:top w:w="0" w:type="dxa"/>
          <w:left w:w="108" w:type="dxa"/>
          <w:bottom w:w="0" w:type="dxa"/>
          <w:right w:w="108" w:type="dxa"/>
        </w:tblCellMar>
        <w:tblLook w:val="04a0"/>
      </w:tblPr>
      <w:tblGrid>
        <w:gridCol w:w="3827"/>
        <w:gridCol w:w="7087"/>
      </w:tblGrid>
      <w:tr>
        <w:trPr/>
        <w:tc>
          <w:tcPr>
            <w:tcW w:w="3827" w:type="dxa"/>
            <w:tcBorders>
              <w:top w:val="nil"/>
              <w:left w:val="nil"/>
              <w:bottom w:val="nil"/>
              <w:right w:val="nil"/>
              <w:insideH w:val="nil"/>
              <w:insideV w:val="nil"/>
            </w:tcBorders>
            <w:shd w:fill="auto" w:val="clear"/>
          </w:tcPr>
          <w:p>
            <w:pPr>
              <w:pStyle w:val="Normal"/>
              <w:tabs>
                <w:tab w:val="right" w:pos="8910" w:leader="none"/>
              </w:tabs>
              <w:rPr>
                <w:rFonts w:ascii="Arial" w:hAnsi="Arial"/>
                <w:sz w:val="28"/>
              </w:rPr>
            </w:pPr>
            <w:r>
              <w:rPr/>
              <w:drawing>
                <wp:inline distT="0" distB="0" distL="19050" distR="0">
                  <wp:extent cx="2160905" cy="1259205"/>
                  <wp:effectExtent l="0" t="0" r="0" b="0"/>
                  <wp:docPr id="1" name="Image 1" descr="New_Logo_VilleChamp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New_Logo_VilleChamps.jpg"/>
                          <pic:cNvPicPr>
                            <a:picLocks noChangeAspect="1" noChangeArrowheads="1"/>
                          </pic:cNvPicPr>
                        </pic:nvPicPr>
                        <pic:blipFill>
                          <a:blip r:embed="rId2"/>
                          <a:stretch>
                            <a:fillRect/>
                          </a:stretch>
                        </pic:blipFill>
                        <pic:spPr bwMode="auto">
                          <a:xfrm>
                            <a:off x="0" y="0"/>
                            <a:ext cx="2160905" cy="1259205"/>
                          </a:xfrm>
                          <a:prstGeom prst="rect">
                            <a:avLst/>
                          </a:prstGeom>
                        </pic:spPr>
                      </pic:pic>
                    </a:graphicData>
                  </a:graphic>
                </wp:inline>
              </w:drawing>
            </w:r>
          </w:p>
        </w:tc>
        <w:tc>
          <w:tcPr>
            <w:tcW w:w="7087" w:type="dxa"/>
            <w:tcBorders>
              <w:top w:val="nil"/>
              <w:left w:val="nil"/>
              <w:bottom w:val="nil"/>
              <w:right w:val="nil"/>
              <w:insideH w:val="nil"/>
              <w:insideV w:val="nil"/>
            </w:tcBorders>
            <w:shd w:fill="auto" w:val="clear"/>
            <w:vAlign w:val="center"/>
          </w:tcPr>
          <w:p>
            <w:pPr>
              <w:pStyle w:val="Normal"/>
              <w:tabs>
                <w:tab w:val="right" w:pos="8910" w:leader="none"/>
              </w:tabs>
              <w:jc w:val="right"/>
              <w:rPr>
                <w:rFonts w:ascii="Arial" w:hAnsi="Arial"/>
                <w:sz w:val="28"/>
              </w:rPr>
            </w:pPr>
            <w:r>
              <w:rPr>
                <w:rFonts w:ascii="Arial" w:hAnsi="Arial"/>
                <w:sz w:val="20"/>
              </w:rPr>
              <w:t xml:space="preserve">Marché de fournitures </w:t>
            </w:r>
          </w:p>
        </w:tc>
      </w:tr>
    </w:tbl>
    <w:p>
      <w:pPr>
        <w:pStyle w:val="Normal"/>
        <w:ind w:left="660" w:hanging="0"/>
        <w:rPr>
          <w:rFonts w:ascii="Arial" w:hAnsi="Arial"/>
          <w:sz w:val="28"/>
        </w:rPr>
      </w:pPr>
      <w:r>
        <w:rPr>
          <w:rFonts w:ascii="Arial" w:hAnsi="Arial"/>
          <w:sz w:val="28"/>
        </w:rPr>
      </w:r>
    </w:p>
    <w:p>
      <w:pPr>
        <w:pStyle w:val="Normal"/>
        <w:ind w:left="660" w:hanging="0"/>
        <w:rPr>
          <w:rFonts w:ascii="Arial" w:hAnsi="Arial"/>
          <w:sz w:val="28"/>
        </w:rPr>
      </w:pPr>
      <w:r>
        <w:rPr>
          <w:rFonts w:ascii="Arial" w:hAnsi="Arial"/>
          <w:sz w:val="28"/>
        </w:rPr>
      </w:r>
    </w:p>
    <w:p>
      <w:pPr>
        <w:pStyle w:val="Normal"/>
        <w:ind w:left="660" w:hanging="0"/>
        <w:rPr>
          <w:rFonts w:ascii="Arial" w:hAnsi="Arial"/>
          <w:sz w:val="28"/>
        </w:rPr>
      </w:pPr>
      <w:r>
        <w:rPr>
          <w:rFonts w:ascii="Arial" w:hAnsi="Arial"/>
          <w:sz w:val="28"/>
        </w:rPr>
      </w:r>
    </w:p>
    <w:p>
      <w:pPr>
        <w:pStyle w:val="Normal"/>
        <w:ind w:left="660" w:hanging="0"/>
        <w:rPr>
          <w:sz w:val="28"/>
        </w:rPr>
      </w:pPr>
      <w:r>
        <w:rPr>
          <w:sz w:val="28"/>
        </w:rPr>
      </w:r>
    </w:p>
    <w:p>
      <w:pPr>
        <w:pStyle w:val="Normal"/>
        <w:jc w:val="center"/>
        <w:rPr>
          <w:rFonts w:cs="Calibri" w:cstheme="minorHAnsi"/>
          <w:bCs/>
          <w:color w:val="000000" w:themeColor="text1"/>
          <w:sz w:val="52"/>
          <w:szCs w:val="52"/>
        </w:rPr>
      </w:pPr>
      <w:r>
        <w:rPr>
          <w:rFonts w:cs="Calibri" w:cstheme="minorHAnsi"/>
          <w:color w:val="000000" w:themeColor="text1"/>
          <w:sz w:val="52"/>
          <w:szCs w:val="52"/>
        </w:rPr>
        <w:t xml:space="preserve">Service </w:t>
      </w:r>
      <w:r>
        <w:rPr>
          <w:rFonts w:cs="Calibri" w:cstheme="minorHAnsi"/>
          <w:bCs/>
          <w:color w:val="000000" w:themeColor="text1"/>
          <w:sz w:val="52"/>
          <w:szCs w:val="52"/>
        </w:rPr>
        <w:t>Education</w:t>
      </w:r>
    </w:p>
    <w:p>
      <w:pPr>
        <w:pStyle w:val="Normal"/>
        <w:ind w:left="660" w:hanging="0"/>
        <w:jc w:val="center"/>
        <w:rPr>
          <w:rFonts w:cs="Tahoma"/>
          <w:sz w:val="28"/>
        </w:rPr>
      </w:pPr>
      <w:r>
        <w:rPr>
          <w:rFonts w:cs="Tahoma"/>
          <w:sz w:val="28"/>
        </w:rPr>
      </w:r>
    </w:p>
    <w:p>
      <w:pPr>
        <w:pStyle w:val="Normal"/>
        <w:ind w:left="660" w:hanging="0"/>
        <w:jc w:val="center"/>
        <w:rPr>
          <w:rFonts w:cs="Tahoma"/>
          <w:sz w:val="28"/>
        </w:rPr>
      </w:pPr>
      <w:r>
        <w:rPr>
          <w:rFonts w:cs="Tahoma"/>
          <w:sz w:val="28"/>
        </w:rPr>
      </w:r>
    </w:p>
    <w:p>
      <w:pPr>
        <w:pStyle w:val="Titre7"/>
        <w:ind w:left="0" w:hanging="0"/>
        <w:rPr>
          <w:rFonts w:ascii="Calibri" w:hAnsi="Calibri" w:cs="Times New Roman" w:asciiTheme="minorHAnsi" w:hAnsiTheme="minorHAnsi"/>
        </w:rPr>
      </w:pPr>
      <w:r>
        <w:rPr>
          <w:rFonts w:cs="Times New Roman" w:ascii="Calibri" w:hAnsi="Calibri" w:asciiTheme="minorHAnsi" w:hAnsiTheme="minorHAnsi"/>
        </w:rPr>
        <w:t>Procédure adaptée</w:t>
      </w:r>
    </w:p>
    <w:p>
      <w:pPr>
        <w:pStyle w:val="Normal"/>
        <w:jc w:val="center"/>
        <w:rPr>
          <w:rFonts w:cs="Tahoma"/>
          <w:sz w:val="28"/>
        </w:rPr>
      </w:pPr>
      <w:r>
        <w:rPr>
          <w:rFonts w:cs="Tahoma"/>
          <w:sz w:val="28"/>
        </w:rPr>
        <w:t>Articles L.2123-1 et R.2123-1 à R.2123-7</w:t>
      </w:r>
    </w:p>
    <w:p>
      <w:pPr>
        <w:pStyle w:val="Normal"/>
        <w:jc w:val="center"/>
        <w:rPr>
          <w:rFonts w:cs="Tahoma"/>
          <w:sz w:val="28"/>
        </w:rPr>
      </w:pPr>
      <w:r>
        <w:rPr>
          <w:rFonts w:cs="Tahoma"/>
          <w:sz w:val="28"/>
        </w:rPr>
        <w:t>Code de la Commande Publique</w:t>
      </w:r>
    </w:p>
    <w:p>
      <w:pPr>
        <w:pStyle w:val="Normal"/>
        <w:ind w:left="660" w:hanging="0"/>
        <w:jc w:val="center"/>
        <w:rPr>
          <w:rFonts w:cs="Tahoma"/>
          <w:sz w:val="28"/>
        </w:rPr>
      </w:pPr>
      <w:r>
        <w:rPr>
          <w:rFonts w:cs="Tahoma"/>
          <w:sz w:val="28"/>
        </w:rPr>
      </w:r>
    </w:p>
    <w:p>
      <w:pPr>
        <w:pStyle w:val="Normal"/>
        <w:ind w:left="660" w:hanging="0"/>
        <w:jc w:val="center"/>
        <w:rPr>
          <w:rFonts w:cs="Tahoma"/>
          <w:sz w:val="28"/>
        </w:rPr>
      </w:pPr>
      <w:r>
        <w:rPr>
          <w:rFonts w:cs="Tahoma"/>
          <w:sz w:val="28"/>
        </w:rPr>
      </w:r>
    </w:p>
    <w:p>
      <w:pPr>
        <w:pStyle w:val="Normal"/>
        <w:pBdr>
          <w:top w:val="single" w:sz="4" w:space="1" w:color="00000A"/>
          <w:bottom w:val="single" w:sz="4" w:space="1" w:color="00000A"/>
        </w:pBdr>
        <w:jc w:val="center"/>
        <w:rPr>
          <w:rFonts w:cs="Calibri" w:cstheme="minorHAnsi"/>
          <w:sz w:val="52"/>
        </w:rPr>
      </w:pPr>
      <w:r>
        <w:rPr>
          <w:rFonts w:cs="Calibri" w:cstheme="minorHAnsi"/>
          <w:sz w:val="52"/>
        </w:rPr>
        <w:t xml:space="preserve">ACQUISITION DE JEUX </w:t>
      </w:r>
    </w:p>
    <w:p>
      <w:pPr>
        <w:pStyle w:val="Normal"/>
        <w:pBdr>
          <w:top w:val="single" w:sz="4" w:space="1" w:color="00000A"/>
          <w:bottom w:val="single" w:sz="4" w:space="1" w:color="00000A"/>
        </w:pBdr>
        <w:jc w:val="center"/>
        <w:rPr>
          <w:rFonts w:cs="Calibri" w:cstheme="minorHAnsi"/>
          <w:sz w:val="52"/>
        </w:rPr>
      </w:pPr>
      <w:r>
        <w:rPr>
          <w:rFonts w:cs="Calibri" w:cstheme="minorHAnsi"/>
          <w:sz w:val="52"/>
        </w:rPr>
        <w:t>ET MATERIELS PEDAGOGIQUES</w:t>
      </w:r>
    </w:p>
    <w:p>
      <w:pPr>
        <w:pStyle w:val="Normal"/>
        <w:ind w:left="660" w:hanging="0"/>
        <w:rPr>
          <w:sz w:val="28"/>
        </w:rPr>
      </w:pPr>
      <w:r>
        <w:rPr>
          <w:sz w:val="28"/>
        </w:rPr>
      </w:r>
    </w:p>
    <w:p>
      <w:pPr>
        <w:pStyle w:val="Normal"/>
        <w:ind w:left="660" w:hanging="0"/>
        <w:rPr>
          <w:sz w:val="28"/>
        </w:rPr>
      </w:pPr>
      <w:r>
        <w:rPr>
          <w:sz w:val="28"/>
        </w:rPr>
      </w:r>
    </w:p>
    <w:p>
      <w:pPr>
        <w:pStyle w:val="Normal"/>
        <w:ind w:left="660" w:hanging="0"/>
        <w:rPr>
          <w:sz w:val="28"/>
        </w:rPr>
      </w:pPr>
      <w:r>
        <w:rPr>
          <w:sz w:val="28"/>
        </w:rPr>
      </w:r>
    </w:p>
    <w:p>
      <w:pPr>
        <w:pStyle w:val="Normal"/>
        <w:ind w:left="660" w:hanging="0"/>
        <w:rPr/>
      </w:pPr>
      <w:r>
        <w:rPr/>
      </w:r>
    </w:p>
    <w:p>
      <w:pPr>
        <w:pStyle w:val="Normal"/>
        <w:jc w:val="center"/>
        <w:rPr>
          <w:iCs/>
          <w:sz w:val="52"/>
        </w:rPr>
      </w:pPr>
      <w:r>
        <w:rPr>
          <w:b/>
          <w:sz w:val="52"/>
        </w:rPr>
        <w:t>C</w:t>
      </w:r>
      <w:r>
        <w:rPr>
          <w:sz w:val="52"/>
        </w:rPr>
        <w:t xml:space="preserve">ahier des </w:t>
      </w:r>
      <w:r>
        <w:rPr>
          <w:b/>
          <w:sz w:val="52"/>
        </w:rPr>
        <w:t>C</w:t>
      </w:r>
      <w:r>
        <w:rPr>
          <w:sz w:val="52"/>
        </w:rPr>
        <w:t xml:space="preserve">lauses </w:t>
      </w:r>
      <w:r>
        <w:rPr>
          <w:b/>
          <w:sz w:val="52"/>
        </w:rPr>
        <w:t>P</w:t>
      </w:r>
      <w:r>
        <w:rPr>
          <w:sz w:val="52"/>
        </w:rPr>
        <w:t>articulières</w:t>
      </w:r>
    </w:p>
    <w:p>
      <w:pPr>
        <w:pStyle w:val="Normal"/>
        <w:jc w:val="center"/>
        <w:rPr>
          <w:b/>
          <w:b/>
          <w:i/>
          <w:i/>
          <w:szCs w:val="22"/>
          <w:u w:val="single"/>
        </w:rPr>
      </w:pPr>
      <w:r>
        <w:rPr>
          <w:iCs/>
          <w:sz w:val="52"/>
        </w:rPr>
        <w:t>C.C.P.</w:t>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r>
        <w:br w:type="page"/>
      </w:r>
    </w:p>
    <w:p>
      <w:pPr>
        <w:pStyle w:val="Normal"/>
        <w:rPr>
          <w:b/>
          <w:b/>
          <w:i/>
          <w:i/>
          <w:szCs w:val="22"/>
          <w:u w:val="single"/>
        </w:rPr>
      </w:pPr>
      <w:r>
        <w:rPr>
          <w:b/>
          <w:i/>
          <w:szCs w:val="22"/>
          <w:u w:val="single"/>
        </w:rPr>
      </w:r>
    </w:p>
    <w:p>
      <w:pPr>
        <w:pStyle w:val="Normal"/>
        <w:rPr>
          <w:b/>
          <w:b/>
          <w:i/>
          <w:i/>
          <w:szCs w:val="22"/>
          <w:u w:val="single"/>
        </w:rPr>
      </w:pPr>
      <w:r>
        <w:rPr>
          <w:b/>
          <w:i/>
          <w:szCs w:val="22"/>
          <w:u w:val="single"/>
        </w:rPr>
      </w:r>
    </w:p>
    <w:sdt>
      <w:sdtPr>
        <w:docPartObj>
          <w:docPartGallery w:val="Table of Contents"/>
          <w:docPartUnique w:val="true"/>
        </w:docPartObj>
        <w:id w:val="695073691"/>
      </w:sdtPr>
      <w:sdtContent>
        <w:p>
          <w:pPr>
            <w:pStyle w:val="TOCHeading"/>
            <w:pBdr>
              <w:bottom w:val="single" w:sz="4" w:space="0" w:color="00000A"/>
            </w:pBdr>
            <w:jc w:val="center"/>
            <w:rPr/>
          </w:pPr>
          <w:r>
            <w:rPr/>
            <w:t>SOMMAIRE</w:t>
          </w:r>
        </w:p>
        <w:p>
          <w:pPr>
            <w:pStyle w:val="Normal"/>
            <w:rPr/>
          </w:pPr>
          <w:r>
            <w:rPr/>
          </w:r>
        </w:p>
        <w:p>
          <w:pPr>
            <w:pStyle w:val="Tabledesmatiresniveau1"/>
            <w:rPr>
              <w:b w:val="false"/>
              <w:b w:val="false"/>
              <w:lang w:eastAsia="fr-FR"/>
            </w:rPr>
          </w:pPr>
          <w:r>
            <w:fldChar w:fldCharType="begin"/>
          </w:r>
          <w:r>
            <w:instrText> TOC \z \o "1-3" \u \h</w:instrText>
          </w:r>
          <w:r>
            <w:fldChar w:fldCharType="separate"/>
          </w:r>
          <w:hyperlink w:anchor="_Toc4597725">
            <w:r>
              <w:rPr>
                <w:webHidden/>
                <w:rStyle w:val="Sautdindex"/>
              </w:rPr>
              <w:t>1.</w:t>
            </w:r>
            <w:r>
              <w:rPr>
                <w:rStyle w:val="Sautdindex"/>
                <w:b w:val="false"/>
                <w:lang w:eastAsia="fr-FR"/>
              </w:rPr>
              <w:tab/>
            </w:r>
            <w:r>
              <w:rPr>
                <w:rStyle w:val="Sautdindex"/>
              </w:rPr>
              <w:t>CLAUSES ADMINISTRATIVES</w:t>
            </w:r>
            <w:r>
              <w:rPr>
                <w:webHidden/>
              </w:rPr>
              <w:fldChar w:fldCharType="begin"/>
            </w:r>
            <w:r>
              <w:rPr>
                <w:webHidden/>
              </w:rPr>
              <w:instrText>PAGEREF _Toc4597725 \h</w:instrText>
            </w:r>
            <w:r>
              <w:rPr>
                <w:webHidden/>
              </w:rPr>
              <w:fldChar w:fldCharType="separate"/>
            </w:r>
            <w:r>
              <w:rPr>
                <w:rStyle w:val="Sautdindex"/>
                <w:vanish w:val="false"/>
              </w:rPr>
              <w:tab/>
              <w:t>3</w:t>
            </w:r>
            <w:r>
              <w:rPr>
                <w:webHidden/>
              </w:rPr>
              <w:fldChar w:fldCharType="end"/>
            </w:r>
          </w:hyperlink>
        </w:p>
        <w:p>
          <w:pPr>
            <w:pStyle w:val="Tabledesmatiresniveau3"/>
            <w:tabs>
              <w:tab w:val="left" w:pos="1100" w:leader="none"/>
              <w:tab w:val="right" w:pos="9060" w:leader="dot"/>
            </w:tabs>
            <w:rPr>
              <w:lang w:eastAsia="fr-FR"/>
            </w:rPr>
          </w:pPr>
          <w:hyperlink w:anchor="_Toc4597726">
            <w:r>
              <w:rPr>
                <w:webHidden/>
                <w:rStyle w:val="Sautdindex"/>
              </w:rPr>
              <w:t>1.1</w:t>
            </w:r>
            <w:r>
              <w:rPr>
                <w:rStyle w:val="Sautdindex"/>
                <w:lang w:eastAsia="fr-FR"/>
              </w:rPr>
              <w:tab/>
            </w:r>
            <w:r>
              <w:rPr>
                <w:rStyle w:val="Sautdindex"/>
              </w:rPr>
              <w:t>– OBJET ET CARACTERISTIQUES DU MARCHE</w:t>
            </w:r>
            <w:r>
              <w:rPr>
                <w:webHidden/>
              </w:rPr>
              <w:fldChar w:fldCharType="begin"/>
            </w:r>
            <w:r>
              <w:rPr>
                <w:webHidden/>
              </w:rPr>
              <w:instrText>PAGEREF _Toc4597726 \h</w:instrText>
            </w:r>
            <w:r>
              <w:rPr>
                <w:webHidden/>
              </w:rPr>
              <w:fldChar w:fldCharType="separate"/>
            </w:r>
            <w:r>
              <w:rPr>
                <w:rStyle w:val="Sautdindex"/>
                <w:vanish w:val="false"/>
              </w:rPr>
              <w:tab/>
              <w:t>3</w:t>
            </w:r>
            <w:r>
              <w:rPr>
                <w:webHidden/>
              </w:rPr>
              <w:fldChar w:fldCharType="end"/>
            </w:r>
          </w:hyperlink>
        </w:p>
        <w:p>
          <w:pPr>
            <w:pStyle w:val="Tabledesmatiresniveau3"/>
            <w:tabs>
              <w:tab w:val="left" w:pos="1100" w:leader="none"/>
              <w:tab w:val="right" w:pos="9060" w:leader="dot"/>
            </w:tabs>
            <w:rPr>
              <w:lang w:eastAsia="fr-FR"/>
            </w:rPr>
          </w:pPr>
          <w:hyperlink w:anchor="_Toc4597727">
            <w:r>
              <w:rPr>
                <w:webHidden/>
                <w:rStyle w:val="Sautdindex"/>
              </w:rPr>
              <w:t>1.2</w:t>
            </w:r>
            <w:r>
              <w:rPr>
                <w:rStyle w:val="Sautdindex"/>
                <w:lang w:eastAsia="fr-FR"/>
              </w:rPr>
              <w:tab/>
            </w:r>
            <w:r>
              <w:rPr>
                <w:rStyle w:val="Sautdindex"/>
              </w:rPr>
              <w:t>- DUREE DU MARCHE</w:t>
            </w:r>
            <w:r>
              <w:rPr>
                <w:webHidden/>
              </w:rPr>
              <w:fldChar w:fldCharType="begin"/>
            </w:r>
            <w:r>
              <w:rPr>
                <w:webHidden/>
              </w:rPr>
              <w:instrText>PAGEREF _Toc4597727 \h</w:instrText>
            </w:r>
            <w:r>
              <w:rPr>
                <w:webHidden/>
              </w:rPr>
              <w:fldChar w:fldCharType="separate"/>
            </w:r>
            <w:r>
              <w:rPr>
                <w:rStyle w:val="Sautdindex"/>
                <w:vanish w:val="false"/>
              </w:rPr>
              <w:tab/>
              <w:t>3</w:t>
            </w:r>
            <w:r>
              <w:rPr>
                <w:webHidden/>
              </w:rPr>
              <w:fldChar w:fldCharType="end"/>
            </w:r>
          </w:hyperlink>
        </w:p>
        <w:p>
          <w:pPr>
            <w:pStyle w:val="Tabledesmatiresniveau3"/>
            <w:tabs>
              <w:tab w:val="left" w:pos="1100" w:leader="none"/>
              <w:tab w:val="right" w:pos="9060" w:leader="dot"/>
            </w:tabs>
            <w:rPr>
              <w:lang w:eastAsia="fr-FR"/>
            </w:rPr>
          </w:pPr>
          <w:hyperlink w:anchor="_Toc4597728">
            <w:r>
              <w:rPr>
                <w:webHidden/>
                <w:rStyle w:val="Sautdindex"/>
              </w:rPr>
              <w:t>1.3</w:t>
            </w:r>
            <w:r>
              <w:rPr>
                <w:rStyle w:val="Sautdindex"/>
                <w:lang w:eastAsia="fr-FR"/>
              </w:rPr>
              <w:tab/>
            </w:r>
            <w:r>
              <w:rPr>
                <w:rStyle w:val="Sautdindex"/>
              </w:rPr>
              <w:t>- PIECES CONTRACTUELLES</w:t>
            </w:r>
            <w:r>
              <w:rPr>
                <w:webHidden/>
              </w:rPr>
              <w:fldChar w:fldCharType="begin"/>
            </w:r>
            <w:r>
              <w:rPr>
                <w:webHidden/>
              </w:rPr>
              <w:instrText>PAGEREF _Toc4597728 \h</w:instrText>
            </w:r>
            <w:r>
              <w:rPr>
                <w:webHidden/>
              </w:rPr>
              <w:fldChar w:fldCharType="separate"/>
            </w:r>
            <w:r>
              <w:rPr>
                <w:rStyle w:val="Sautdindex"/>
                <w:vanish w:val="false"/>
              </w:rPr>
              <w:tab/>
              <w:t>3</w:t>
            </w:r>
            <w:r>
              <w:rPr>
                <w:webHidden/>
              </w:rPr>
              <w:fldChar w:fldCharType="end"/>
            </w:r>
          </w:hyperlink>
        </w:p>
        <w:p>
          <w:pPr>
            <w:pStyle w:val="Tabledesmatiresniveau3"/>
            <w:tabs>
              <w:tab w:val="left" w:pos="1100" w:leader="none"/>
              <w:tab w:val="right" w:pos="9060" w:leader="dot"/>
            </w:tabs>
            <w:rPr>
              <w:lang w:eastAsia="fr-FR"/>
            </w:rPr>
          </w:pPr>
          <w:hyperlink w:anchor="_Toc4597729">
            <w:r>
              <w:rPr>
                <w:webHidden/>
                <w:rStyle w:val="Sautdindex"/>
              </w:rPr>
              <w:t>1.4</w:t>
            </w:r>
            <w:r>
              <w:rPr>
                <w:rStyle w:val="Sautdindex"/>
                <w:lang w:eastAsia="fr-FR"/>
              </w:rPr>
              <w:tab/>
            </w:r>
            <w:r>
              <w:rPr>
                <w:rStyle w:val="Sautdindex"/>
              </w:rPr>
              <w:t>- MODALITES DE REGLEMENT DES COMPTES</w:t>
            </w:r>
            <w:r>
              <w:rPr>
                <w:webHidden/>
              </w:rPr>
              <w:fldChar w:fldCharType="begin"/>
            </w:r>
            <w:r>
              <w:rPr>
                <w:webHidden/>
              </w:rPr>
              <w:instrText>PAGEREF _Toc4597729 \h</w:instrText>
            </w:r>
            <w:r>
              <w:rPr>
                <w:webHidden/>
              </w:rPr>
              <w:fldChar w:fldCharType="separate"/>
            </w:r>
            <w:r>
              <w:rPr>
                <w:rStyle w:val="Sautdindex"/>
                <w:vanish w:val="false"/>
              </w:rPr>
              <w:tab/>
              <w:t>3</w:t>
            </w:r>
            <w:r>
              <w:rPr>
                <w:webHidden/>
              </w:rPr>
              <w:fldChar w:fldCharType="end"/>
            </w:r>
          </w:hyperlink>
        </w:p>
        <w:p>
          <w:pPr>
            <w:pStyle w:val="Tabledesmatiresniveau3"/>
            <w:tabs>
              <w:tab w:val="left" w:pos="1100" w:leader="none"/>
              <w:tab w:val="right" w:pos="9060" w:leader="dot"/>
            </w:tabs>
            <w:rPr>
              <w:lang w:eastAsia="fr-FR"/>
            </w:rPr>
          </w:pPr>
          <w:hyperlink w:anchor="_Toc4597730">
            <w:r>
              <w:rPr>
                <w:webHidden/>
                <w:rStyle w:val="Sautdindex"/>
              </w:rPr>
              <w:t>1.5</w:t>
            </w:r>
            <w:r>
              <w:rPr>
                <w:rStyle w:val="Sautdindex"/>
                <w:lang w:eastAsia="fr-FR"/>
              </w:rPr>
              <w:tab/>
            </w:r>
            <w:r>
              <w:rPr>
                <w:rStyle w:val="Sautdindex"/>
              </w:rPr>
              <w:t>- CLAUSES DE FINANCEMENT ET DE SURETE</w:t>
            </w:r>
            <w:r>
              <w:rPr>
                <w:webHidden/>
              </w:rPr>
              <w:fldChar w:fldCharType="begin"/>
            </w:r>
            <w:r>
              <w:rPr>
                <w:webHidden/>
              </w:rPr>
              <w:instrText>PAGEREF _Toc4597730 \h</w:instrText>
            </w:r>
            <w:r>
              <w:rPr>
                <w:webHidden/>
              </w:rPr>
              <w:fldChar w:fldCharType="separate"/>
            </w:r>
            <w:r>
              <w:rPr>
                <w:rStyle w:val="Sautdindex"/>
                <w:vanish w:val="false"/>
              </w:rPr>
              <w:tab/>
              <w:t>4</w:t>
            </w:r>
            <w:r>
              <w:rPr>
                <w:webHidden/>
              </w:rPr>
              <w:fldChar w:fldCharType="end"/>
            </w:r>
          </w:hyperlink>
        </w:p>
        <w:p>
          <w:pPr>
            <w:pStyle w:val="Tabledesmatiresniveau3"/>
            <w:tabs>
              <w:tab w:val="left" w:pos="1100" w:leader="none"/>
              <w:tab w:val="right" w:pos="9060" w:leader="dot"/>
            </w:tabs>
            <w:rPr>
              <w:lang w:eastAsia="fr-FR"/>
            </w:rPr>
          </w:pPr>
          <w:hyperlink w:anchor="_Toc4597731">
            <w:r>
              <w:rPr>
                <w:webHidden/>
                <w:rStyle w:val="Sautdindex"/>
              </w:rPr>
              <w:t>1.6</w:t>
            </w:r>
            <w:r>
              <w:rPr>
                <w:rStyle w:val="Sautdindex"/>
                <w:lang w:eastAsia="fr-FR"/>
              </w:rPr>
              <w:tab/>
            </w:r>
            <w:r>
              <w:rPr>
                <w:rStyle w:val="Sautdindex"/>
              </w:rPr>
              <w:t>- PRIX</w:t>
            </w:r>
            <w:r>
              <w:rPr>
                <w:webHidden/>
              </w:rPr>
              <w:fldChar w:fldCharType="begin"/>
            </w:r>
            <w:r>
              <w:rPr>
                <w:webHidden/>
              </w:rPr>
              <w:instrText>PAGEREF _Toc4597731 \h</w:instrText>
            </w:r>
            <w:r>
              <w:rPr>
                <w:webHidden/>
              </w:rPr>
              <w:fldChar w:fldCharType="separate"/>
            </w:r>
            <w:r>
              <w:rPr>
                <w:rStyle w:val="Sautdindex"/>
                <w:vanish w:val="false"/>
              </w:rPr>
              <w:tab/>
              <w:t>4</w:t>
            </w:r>
            <w:r>
              <w:rPr>
                <w:webHidden/>
              </w:rPr>
              <w:fldChar w:fldCharType="end"/>
            </w:r>
          </w:hyperlink>
        </w:p>
        <w:p>
          <w:pPr>
            <w:pStyle w:val="Tabledesmatiresniveau3"/>
            <w:tabs>
              <w:tab w:val="left" w:pos="1100" w:leader="none"/>
              <w:tab w:val="right" w:pos="9060" w:leader="dot"/>
            </w:tabs>
            <w:rPr>
              <w:lang w:eastAsia="fr-FR"/>
            </w:rPr>
          </w:pPr>
          <w:hyperlink w:anchor="_Toc4597732">
            <w:r>
              <w:rPr>
                <w:webHidden/>
                <w:rStyle w:val="Sautdindex"/>
              </w:rPr>
              <w:t>1.7</w:t>
            </w:r>
            <w:r>
              <w:rPr>
                <w:rStyle w:val="Sautdindex"/>
                <w:lang w:eastAsia="fr-FR"/>
              </w:rPr>
              <w:tab/>
            </w:r>
            <w:r>
              <w:rPr>
                <w:rStyle w:val="Sautdindex"/>
              </w:rPr>
              <w:t>- CONDITIONS DE LIVRAISON</w:t>
            </w:r>
            <w:r>
              <w:rPr>
                <w:webHidden/>
              </w:rPr>
              <w:fldChar w:fldCharType="begin"/>
            </w:r>
            <w:r>
              <w:rPr>
                <w:webHidden/>
              </w:rPr>
              <w:instrText>PAGEREF _Toc4597732 \h</w:instrText>
            </w:r>
            <w:r>
              <w:rPr>
                <w:webHidden/>
              </w:rPr>
              <w:fldChar w:fldCharType="separate"/>
            </w:r>
            <w:r>
              <w:rPr>
                <w:rStyle w:val="Sautdindex"/>
                <w:vanish w:val="false"/>
              </w:rPr>
              <w:tab/>
              <w:t>6</w:t>
            </w:r>
            <w:r>
              <w:rPr>
                <w:webHidden/>
              </w:rPr>
              <w:fldChar w:fldCharType="end"/>
            </w:r>
          </w:hyperlink>
        </w:p>
        <w:p>
          <w:pPr>
            <w:pStyle w:val="Tabledesmatiresniveau3"/>
            <w:tabs>
              <w:tab w:val="left" w:pos="1100" w:leader="none"/>
              <w:tab w:val="right" w:pos="9060" w:leader="dot"/>
            </w:tabs>
            <w:rPr>
              <w:lang w:eastAsia="fr-FR"/>
            </w:rPr>
          </w:pPr>
          <w:hyperlink w:anchor="_Toc4597733">
            <w:r>
              <w:rPr>
                <w:webHidden/>
                <w:rStyle w:val="Sautdindex"/>
              </w:rPr>
              <w:t>1.8</w:t>
            </w:r>
            <w:r>
              <w:rPr>
                <w:rStyle w:val="Sautdindex"/>
                <w:lang w:eastAsia="fr-FR"/>
              </w:rPr>
              <w:tab/>
            </w:r>
            <w:r>
              <w:rPr>
                <w:rStyle w:val="Sautdindex"/>
              </w:rPr>
              <w:t>- CONDITIONS D’EXECUTION</w:t>
            </w:r>
            <w:r>
              <w:rPr>
                <w:webHidden/>
              </w:rPr>
              <w:fldChar w:fldCharType="begin"/>
            </w:r>
            <w:r>
              <w:rPr>
                <w:webHidden/>
              </w:rPr>
              <w:instrText>PAGEREF _Toc4597733 \h</w:instrText>
            </w:r>
            <w:r>
              <w:rPr>
                <w:webHidden/>
              </w:rPr>
              <w:fldChar w:fldCharType="separate"/>
            </w:r>
            <w:r>
              <w:rPr>
                <w:rStyle w:val="Sautdindex"/>
                <w:vanish w:val="false"/>
              </w:rPr>
              <w:tab/>
              <w:t>7</w:t>
            </w:r>
            <w:r>
              <w:rPr>
                <w:webHidden/>
              </w:rPr>
              <w:fldChar w:fldCharType="end"/>
            </w:r>
          </w:hyperlink>
        </w:p>
        <w:p>
          <w:pPr>
            <w:pStyle w:val="Tabledesmatiresniveau3"/>
            <w:tabs>
              <w:tab w:val="left" w:pos="1100" w:leader="none"/>
              <w:tab w:val="right" w:pos="9060" w:leader="dot"/>
            </w:tabs>
            <w:rPr>
              <w:lang w:eastAsia="fr-FR"/>
            </w:rPr>
          </w:pPr>
          <w:hyperlink w:anchor="_Toc4597734">
            <w:r>
              <w:rPr>
                <w:webHidden/>
                <w:rStyle w:val="Sautdindex"/>
              </w:rPr>
              <w:t>1.9</w:t>
            </w:r>
            <w:r>
              <w:rPr>
                <w:rStyle w:val="Sautdindex"/>
                <w:lang w:eastAsia="fr-FR"/>
              </w:rPr>
              <w:tab/>
            </w:r>
            <w:r>
              <w:rPr>
                <w:rStyle w:val="Sautdindex"/>
              </w:rPr>
              <w:t>- RESILIATION DU MARCHE</w:t>
            </w:r>
            <w:r>
              <w:rPr>
                <w:webHidden/>
              </w:rPr>
              <w:fldChar w:fldCharType="begin"/>
            </w:r>
            <w:r>
              <w:rPr>
                <w:webHidden/>
              </w:rPr>
              <w:instrText>PAGEREF _Toc4597734 \h</w:instrText>
            </w:r>
            <w:r>
              <w:rPr>
                <w:webHidden/>
              </w:rPr>
              <w:fldChar w:fldCharType="separate"/>
            </w:r>
            <w:r>
              <w:rPr>
                <w:rStyle w:val="Sautdindex"/>
                <w:vanish w:val="false"/>
              </w:rPr>
              <w:tab/>
              <w:t>7</w:t>
            </w:r>
            <w:r>
              <w:rPr>
                <w:webHidden/>
              </w:rPr>
              <w:fldChar w:fldCharType="end"/>
            </w:r>
          </w:hyperlink>
        </w:p>
        <w:p>
          <w:pPr>
            <w:pStyle w:val="Tabledesmatiresniveau1"/>
            <w:rPr>
              <w:b w:val="false"/>
              <w:b w:val="false"/>
              <w:lang w:eastAsia="fr-FR"/>
            </w:rPr>
          </w:pPr>
          <w:hyperlink w:anchor="_Toc4597735">
            <w:r>
              <w:rPr>
                <w:webHidden/>
                <w:rStyle w:val="Sautdindex"/>
              </w:rPr>
              <w:t>2.</w:t>
            </w:r>
            <w:r>
              <w:rPr>
                <w:rStyle w:val="Sautdindex"/>
                <w:b w:val="false"/>
                <w:lang w:eastAsia="fr-FR"/>
              </w:rPr>
              <w:tab/>
            </w:r>
            <w:r>
              <w:rPr>
                <w:rStyle w:val="Sautdindex"/>
              </w:rPr>
              <w:t>CLAUSES TECHNIQUES</w:t>
            </w:r>
            <w:r>
              <w:rPr>
                <w:webHidden/>
              </w:rPr>
              <w:fldChar w:fldCharType="begin"/>
            </w:r>
            <w:r>
              <w:rPr>
                <w:webHidden/>
              </w:rPr>
              <w:instrText>PAGEREF _Toc4597735 \h</w:instrText>
            </w:r>
            <w:r>
              <w:rPr>
                <w:webHidden/>
              </w:rPr>
              <w:fldChar w:fldCharType="separate"/>
            </w:r>
            <w:r>
              <w:rPr>
                <w:rStyle w:val="Sautdindex"/>
                <w:vanish w:val="false"/>
              </w:rPr>
              <w:tab/>
              <w:t>8</w:t>
            </w:r>
            <w:r>
              <w:rPr>
                <w:webHidden/>
              </w:rPr>
              <w:fldChar w:fldCharType="end"/>
            </w:r>
          </w:hyperlink>
        </w:p>
        <w:p>
          <w:pPr>
            <w:pStyle w:val="Tabledesmatiresniveau2"/>
            <w:tabs>
              <w:tab w:val="right" w:pos="9060" w:leader="dot"/>
            </w:tabs>
            <w:rPr>
              <w:lang w:eastAsia="fr-FR"/>
            </w:rPr>
          </w:pPr>
          <w:hyperlink w:anchor="_Toc4597736">
            <w:r>
              <w:rPr>
                <w:webHidden/>
                <w:rStyle w:val="Sautdindex"/>
                <w:smallCaps/>
              </w:rPr>
              <w:t>Attestations sur l’honneur</w:t>
            </w:r>
            <w:r>
              <w:rPr>
                <w:webHidden/>
              </w:rPr>
              <w:fldChar w:fldCharType="begin"/>
            </w:r>
            <w:r>
              <w:rPr>
                <w:webHidden/>
              </w:rPr>
              <w:instrText>PAGEREF _Toc4597736 \h</w:instrText>
            </w:r>
            <w:r>
              <w:rPr>
                <w:webHidden/>
              </w:rPr>
              <w:fldChar w:fldCharType="separate"/>
            </w:r>
            <w:r>
              <w:rPr>
                <w:rStyle w:val="Sautdindex"/>
                <w:vanish w:val="false"/>
              </w:rPr>
              <w:tab/>
              <w:t>9</w:t>
            </w:r>
            <w:r>
              <w:rPr>
                <w:webHidden/>
              </w:rPr>
              <w:fldChar w:fldCharType="end"/>
            </w:r>
          </w:hyperlink>
        </w:p>
        <w:p>
          <w:pPr>
            <w:pStyle w:val="Normal"/>
            <w:rPr/>
          </w:pPr>
          <w:r>
            <w:rPr/>
          </w:r>
          <w:r>
            <w:fldChar w:fldCharType="end"/>
          </w:r>
        </w:p>
      </w:sdtContent>
    </w:sdt>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Normal"/>
        <w:rPr>
          <w:b/>
          <w:b/>
          <w:i/>
          <w:i/>
          <w:szCs w:val="22"/>
          <w:u w:val="single"/>
        </w:rPr>
      </w:pPr>
      <w:r>
        <w:rPr>
          <w:b/>
          <w:i/>
          <w:szCs w:val="22"/>
          <w:u w:val="single"/>
        </w:rPr>
      </w:r>
    </w:p>
    <w:p>
      <w:pPr>
        <w:pStyle w:val="Titre1"/>
        <w:numPr>
          <w:ilvl w:val="0"/>
          <w:numId w:val="7"/>
        </w:numPr>
        <w:rPr/>
      </w:pPr>
      <w:bookmarkStart w:id="0" w:name="_Toc4597725"/>
      <w:bookmarkEnd w:id="0"/>
      <w:r>
        <w:rPr/>
        <w:t>CLAUSES ADMINISTRATIVES</w:t>
      </w:r>
    </w:p>
    <w:p>
      <w:pPr>
        <w:pStyle w:val="Normal"/>
        <w:rPr/>
      </w:pPr>
      <w:r>
        <w:rPr/>
      </w:r>
    </w:p>
    <w:p>
      <w:pPr>
        <w:pStyle w:val="Normal"/>
        <w:rPr/>
      </w:pPr>
      <w:r>
        <w:rPr/>
      </w:r>
    </w:p>
    <w:p>
      <w:pPr>
        <w:pStyle w:val="Titre3"/>
        <w:numPr>
          <w:ilvl w:val="1"/>
          <w:numId w:val="8"/>
        </w:numPr>
        <w:ind w:left="0" w:firstLine="6"/>
        <w:rPr/>
      </w:pPr>
      <w:bookmarkStart w:id="1" w:name="_Toc4597726"/>
      <w:r>
        <w:rPr/>
        <w:t xml:space="preserve">– </w:t>
      </w:r>
      <w:bookmarkEnd w:id="1"/>
      <w:r>
        <w:rPr/>
        <w:t>OBJET ET CARACTERISTIQUES DU MARCHE</w:t>
      </w:r>
    </w:p>
    <w:p>
      <w:pPr>
        <w:pStyle w:val="Normal"/>
        <w:shd w:val="clear" w:color="auto" w:fill="FFFFFF" w:themeFill="background1"/>
        <w:jc w:val="both"/>
        <w:rPr>
          <w:rFonts w:cs="Arial"/>
          <w:szCs w:val="22"/>
        </w:rPr>
      </w:pPr>
      <w:r>
        <w:rPr>
          <w:rFonts w:cs="Arial"/>
          <w:szCs w:val="22"/>
        </w:rPr>
        <w:t>Le présent marché relatif à l’acquisition de jeux et matériels pédagogiques n’est pas décomposé en lots.</w:t>
      </w:r>
    </w:p>
    <w:p>
      <w:pPr>
        <w:pStyle w:val="Normal"/>
        <w:shd w:val="clear" w:color="auto" w:fill="FFFFFF" w:themeFill="background1"/>
        <w:jc w:val="both"/>
        <w:rPr>
          <w:rFonts w:cs="Arial"/>
          <w:szCs w:val="22"/>
        </w:rPr>
      </w:pPr>
      <w:r>
        <w:rPr>
          <w:rFonts w:cs="Calibri" w:cstheme="minorHAnsi"/>
          <w:szCs w:val="22"/>
        </w:rPr>
        <w:t>Les besoins étant de même nature, le marché fait l’objet d’un accord-cadre à bons de commande, conformément aux articles R.2162-2, R.2162-4, R.2162-13 et R.2162-14 du Code de la Commande Publique</w:t>
      </w:r>
      <w:r>
        <w:rPr>
          <w:rFonts w:cs="Arial" w:ascii="Arial" w:hAnsi="Arial"/>
          <w:szCs w:val="22"/>
        </w:rPr>
        <w:t xml:space="preserve">, </w:t>
      </w:r>
      <w:r>
        <w:rPr>
          <w:rFonts w:cs="Arial"/>
          <w:szCs w:val="22"/>
        </w:rPr>
        <w:t>avec un minimum annuel de </w:t>
      </w:r>
      <w:r>
        <w:rPr/>
        <w:t>10 000 </w:t>
      </w:r>
      <w:r>
        <w:rPr>
          <w:color w:val="000000" w:themeColor="text1"/>
        </w:rPr>
        <w:t>€ HT et</w:t>
      </w:r>
      <w:r>
        <w:rPr/>
        <w:t xml:space="preserve"> un maximum annuel de 35 000 </w:t>
      </w:r>
      <w:r>
        <w:rPr>
          <w:color w:val="000000" w:themeColor="text1"/>
        </w:rPr>
        <w:t>€ HT.</w:t>
      </w:r>
      <w:r>
        <w:rPr>
          <w:color w:val="FF0000"/>
        </w:rPr>
        <w:t xml:space="preserve"> </w:t>
      </w:r>
    </w:p>
    <w:p>
      <w:pPr>
        <w:pStyle w:val="Normal2"/>
        <w:ind w:left="0" w:hanging="0"/>
        <w:rPr>
          <w:rFonts w:ascii="Arial" w:hAnsi="Arial" w:cs="Arial"/>
          <w:sz w:val="20"/>
        </w:rPr>
      </w:pPr>
      <w:r>
        <w:rPr>
          <w:rFonts w:cs="Arial" w:ascii="Arial" w:hAnsi="Arial"/>
          <w:sz w:val="20"/>
        </w:rPr>
      </w:r>
    </w:p>
    <w:p>
      <w:pPr>
        <w:pStyle w:val="Titre3"/>
        <w:numPr>
          <w:ilvl w:val="1"/>
          <w:numId w:val="8"/>
        </w:numPr>
        <w:ind w:left="0" w:firstLine="6"/>
        <w:rPr/>
      </w:pPr>
      <w:bookmarkStart w:id="2" w:name="_Toc4597727"/>
      <w:bookmarkEnd w:id="2"/>
      <w:r>
        <w:rPr/>
        <w:t>- DUREE DU MARCHE</w:t>
      </w:r>
    </w:p>
    <w:p>
      <w:pPr>
        <w:pStyle w:val="Retraitdecorpsdetexte"/>
        <w:ind w:left="0" w:hanging="0"/>
        <w:jc w:val="both"/>
        <w:rPr/>
      </w:pPr>
      <w:r>
        <w:rPr/>
        <w:t>L’accord-cadre est conclu pour une période initiale de 1 an à compter du 01 juin 2020 (ou à défaut de la date de notification si celle-ci est postérieure au 01/06/2020) au 31 mai 2021 inclus.</w:t>
      </w:r>
    </w:p>
    <w:p>
      <w:pPr>
        <w:pStyle w:val="Retraitdecorpsdetexte"/>
        <w:ind w:left="0" w:hanging="0"/>
        <w:jc w:val="both"/>
        <w:rPr/>
      </w:pPr>
      <w:r>
        <w:rPr/>
      </w:r>
    </w:p>
    <w:p>
      <w:pPr>
        <w:pStyle w:val="Retraitdecorpsdetexte"/>
        <w:ind w:left="0" w:hanging="0"/>
        <w:jc w:val="both"/>
        <w:rPr/>
      </w:pPr>
      <w:r>
        <w:rPr/>
        <w:t>Il sera tacitement reconductible trois fois pour un an (du 01/06 au 31/05), sans pouvoir excéder 4 ans, sans modification des montants minimum et maximum.</w:t>
      </w:r>
    </w:p>
    <w:p>
      <w:pPr>
        <w:pStyle w:val="Retraitdecorpsdetexte"/>
        <w:ind w:left="0" w:hanging="0"/>
        <w:jc w:val="both"/>
        <w:rPr/>
      </w:pPr>
      <w:r>
        <w:rPr/>
      </w:r>
    </w:p>
    <w:p>
      <w:pPr>
        <w:pStyle w:val="Normal"/>
        <w:ind w:left="20" w:right="23" w:hanging="0"/>
        <w:jc w:val="both"/>
        <w:rPr>
          <w:rFonts w:cs="Calibri" w:cstheme="minorHAnsi"/>
          <w:sz w:val="4"/>
        </w:rPr>
      </w:pPr>
      <w:r>
        <w:rPr>
          <w:rFonts w:eastAsia="Trebuchet MS" w:cs="Calibri" w:cstheme="minorHAnsi"/>
          <w:color w:val="000000"/>
        </w:rPr>
        <w:t>La reconduction est considérée comme acceptée si aucune décision écrite contraire n'est prise par le pouvoir adjudicateur au moins 3 mois avant la fin de la durée de validité de l'accord-cadre. Le titulaire ne peut pas refuser la reconduction.</w:t>
      </w:r>
    </w:p>
    <w:p>
      <w:pPr>
        <w:pStyle w:val="Normal"/>
        <w:ind w:left="20" w:right="23" w:hanging="0"/>
        <w:jc w:val="both"/>
        <w:rPr>
          <w:rFonts w:cs="Calibri" w:cstheme="minorHAnsi"/>
          <w:sz w:val="4"/>
        </w:rPr>
      </w:pPr>
      <w:r>
        <w:rPr>
          <w:rFonts w:cs="Calibri" w:cstheme="minorHAnsi"/>
          <w:sz w:val="4"/>
        </w:rPr>
      </w:r>
    </w:p>
    <w:p>
      <w:pPr>
        <w:pStyle w:val="Retraitdecorpsdetexte"/>
        <w:ind w:left="0" w:hanging="0"/>
        <w:jc w:val="both"/>
        <w:rPr/>
      </w:pPr>
      <w:r>
        <w:rPr/>
      </w:r>
    </w:p>
    <w:p>
      <w:pPr>
        <w:pStyle w:val="Normal"/>
        <w:rPr>
          <w:sz w:val="20"/>
          <w:szCs w:val="20"/>
        </w:rPr>
      </w:pPr>
      <w:r>
        <w:rPr>
          <w:sz w:val="20"/>
          <w:szCs w:val="20"/>
        </w:rPr>
      </w:r>
    </w:p>
    <w:p>
      <w:pPr>
        <w:pStyle w:val="Titre3"/>
        <w:numPr>
          <w:ilvl w:val="1"/>
          <w:numId w:val="8"/>
        </w:numPr>
        <w:ind w:left="0" w:firstLine="6"/>
        <w:rPr/>
      </w:pPr>
      <w:bookmarkStart w:id="3" w:name="_Toc4597728"/>
      <w:r>
        <w:rPr/>
        <w:t>- PIECES CONTRACTUELLES</w:t>
      </w:r>
      <w:bookmarkEnd w:id="3"/>
      <w:r>
        <w:rPr/>
        <w:t> </w:t>
      </w:r>
    </w:p>
    <w:p>
      <w:pPr>
        <w:pStyle w:val="Normal1"/>
        <w:ind w:hanging="0"/>
        <w:rPr/>
      </w:pPr>
      <w:r>
        <w:rPr/>
        <w:t>Les pièces contractuelles de l’accord cadre sont les suivantes et, en cas de contradiction entre leurs stipulations, prévalent dans l’ordre de priorité ci-après :</w:t>
      </w:r>
    </w:p>
    <w:p>
      <w:pPr>
        <w:pStyle w:val="Normal1"/>
        <w:ind w:hanging="0"/>
        <w:rPr/>
      </w:pPr>
      <w:r>
        <w:rPr/>
      </w:r>
    </w:p>
    <w:p>
      <w:pPr>
        <w:pStyle w:val="BodyTextIndent2"/>
        <w:numPr>
          <w:ilvl w:val="2"/>
          <w:numId w:val="9"/>
        </w:numPr>
        <w:jc w:val="both"/>
        <w:rPr/>
      </w:pPr>
      <w:r>
        <w:rPr/>
        <w:t>L’acte d’engagement (AE)</w:t>
      </w:r>
    </w:p>
    <w:p>
      <w:pPr>
        <w:pStyle w:val="BodyTextIndent2"/>
        <w:numPr>
          <w:ilvl w:val="2"/>
          <w:numId w:val="9"/>
        </w:numPr>
        <w:jc w:val="both"/>
        <w:rPr/>
      </w:pPr>
      <w:r>
        <w:rPr/>
        <w:t xml:space="preserve">Le présent Cahier Clauses Particulières (C.C.P.) </w:t>
      </w:r>
    </w:p>
    <w:p>
      <w:pPr>
        <w:pStyle w:val="BodyTextIndent2"/>
        <w:numPr>
          <w:ilvl w:val="2"/>
          <w:numId w:val="9"/>
        </w:numPr>
        <w:jc w:val="both"/>
        <w:rPr/>
      </w:pPr>
      <w:r>
        <w:rPr/>
        <w:t>Le Bordereau des Prix Unitaires (B.P.U.)</w:t>
      </w:r>
    </w:p>
    <w:p>
      <w:pPr>
        <w:pStyle w:val="BodyTextIndent2"/>
        <w:numPr>
          <w:ilvl w:val="2"/>
          <w:numId w:val="9"/>
        </w:numPr>
        <w:jc w:val="both"/>
        <w:rPr/>
      </w:pPr>
      <w:r>
        <w:rPr/>
        <w:t xml:space="preserve">Le CCAG (fournitures/services) </w:t>
      </w:r>
    </w:p>
    <w:p>
      <w:pPr>
        <w:pStyle w:val="BodyTextIndent2"/>
        <w:ind w:left="0" w:hanging="0"/>
        <w:jc w:val="both"/>
        <w:rPr>
          <w:sz w:val="20"/>
          <w:szCs w:val="20"/>
        </w:rPr>
      </w:pPr>
      <w:r>
        <w:rPr>
          <w:sz w:val="20"/>
          <w:szCs w:val="20"/>
        </w:rPr>
      </w:r>
    </w:p>
    <w:p>
      <w:pPr>
        <w:pStyle w:val="Titre3"/>
        <w:numPr>
          <w:ilvl w:val="1"/>
          <w:numId w:val="8"/>
        </w:numPr>
        <w:ind w:left="0" w:firstLine="6"/>
        <w:rPr/>
      </w:pPr>
      <w:bookmarkStart w:id="4" w:name="_Toc4597729"/>
      <w:r>
        <w:rPr/>
        <w:t>- MODALITES DE REGLEMENT DES COMPTES</w:t>
      </w:r>
      <w:bookmarkEnd w:id="4"/>
      <w:r>
        <w:rPr/>
        <w:t> </w:t>
      </w:r>
    </w:p>
    <w:p>
      <w:pPr>
        <w:pStyle w:val="Titre8"/>
        <w:rPr/>
      </w:pPr>
      <w:r>
        <w:rPr/>
        <w:t>1.4.1 -  Acomptes et paiements partiels définitifs</w:t>
      </w:r>
    </w:p>
    <w:p>
      <w:pPr>
        <w:pStyle w:val="Normal2"/>
        <w:ind w:left="0" w:hanging="0"/>
        <w:jc w:val="left"/>
        <w:rPr>
          <w:rFonts w:ascii="Calibri" w:hAnsi="Calibri" w:asciiTheme="minorHAnsi" w:hAnsiTheme="minorHAnsi"/>
        </w:rPr>
      </w:pPr>
      <w:r>
        <w:rPr>
          <w:rFonts w:ascii="Calibri" w:hAnsi="Calibri" w:asciiTheme="minorHAnsi" w:hAnsiTheme="minorHAnsi"/>
        </w:rPr>
        <w:t xml:space="preserve">Les acomptes seront versés au titulaire dans les conditions de l’article 11 du C.C.A.G.-F.C.S. </w:t>
      </w:r>
    </w:p>
    <w:p>
      <w:pPr>
        <w:pStyle w:val="Normal2"/>
        <w:ind w:left="0" w:hanging="0"/>
        <w:jc w:val="left"/>
        <w:rPr>
          <w:rFonts w:ascii="Calibri" w:hAnsi="Calibri" w:asciiTheme="minorHAnsi" w:hAnsiTheme="minorHAnsi"/>
        </w:rPr>
      </w:pPr>
      <w:r>
        <w:rPr>
          <w:rFonts w:asciiTheme="minorHAnsi" w:hAnsiTheme="minorHAnsi" w:ascii="Calibri" w:hAnsi="Calibri"/>
        </w:rPr>
      </w:r>
    </w:p>
    <w:p>
      <w:pPr>
        <w:pStyle w:val="Titre8"/>
        <w:rPr/>
      </w:pPr>
      <w:r>
        <w:rPr/>
        <w:t>1.4.2 – Conditions de paiement</w:t>
      </w:r>
    </w:p>
    <w:p>
      <w:pPr>
        <w:pStyle w:val="Retraitdecorpsdetexte"/>
        <w:spacing w:before="0" w:after="80"/>
        <w:ind w:left="0" w:hanging="0"/>
        <w:jc w:val="both"/>
        <w:rPr>
          <w:rFonts w:cs="Calibri" w:cstheme="minorHAnsi"/>
          <w:szCs w:val="22"/>
        </w:rPr>
      </w:pPr>
      <w:r>
        <w:rPr>
          <w:rFonts w:cs="Calibri" w:cstheme="minorHAnsi"/>
          <w:szCs w:val="22"/>
        </w:rPr>
        <w:t>Les factures seront transmises après chaque livraison, selon les modalités définies ci-après :</w:t>
      </w:r>
      <w:r>
        <w:rPr>
          <w:rFonts w:cs="Calibri" w:cstheme="minorHAnsi"/>
          <w:b/>
          <w:color w:val="0070C0"/>
          <w:szCs w:val="22"/>
        </w:rPr>
        <w:t xml:space="preserve"> </w:t>
      </w:r>
    </w:p>
    <w:p>
      <w:pPr>
        <w:pStyle w:val="Retraitdecorpsdetexte"/>
        <w:numPr>
          <w:ilvl w:val="3"/>
          <w:numId w:val="6"/>
        </w:numPr>
        <w:spacing w:before="0" w:after="80"/>
        <w:ind w:left="567" w:hanging="357"/>
        <w:jc w:val="both"/>
        <w:rPr>
          <w:rFonts w:cs="Calibri" w:cstheme="minorHAnsi"/>
          <w:szCs w:val="22"/>
        </w:rPr>
      </w:pPr>
      <w:r>
        <w:rPr>
          <w:rFonts w:cs="Calibri" w:cstheme="minorHAnsi"/>
          <w:szCs w:val="22"/>
        </w:rPr>
        <w:t xml:space="preserve">Le délai global de paiement est fixé à 30 jours (trente jours) dès </w:t>
      </w:r>
      <w:r>
        <w:rPr>
          <w:rFonts w:cs="Calibri" w:cstheme="minorHAnsi"/>
          <w:szCs w:val="22"/>
          <w:u w:val="single"/>
        </w:rPr>
        <w:t>réception</w:t>
      </w:r>
      <w:r>
        <w:rPr>
          <w:rFonts w:cs="Calibri" w:cstheme="minorHAnsi"/>
          <w:szCs w:val="22"/>
        </w:rPr>
        <w:t xml:space="preserve"> de la facture </w:t>
      </w:r>
    </w:p>
    <w:p>
      <w:pPr>
        <w:pStyle w:val="Retraitdecorpsdetexte"/>
        <w:numPr>
          <w:ilvl w:val="3"/>
          <w:numId w:val="6"/>
        </w:numPr>
        <w:spacing w:before="0" w:after="80"/>
        <w:ind w:left="567" w:hanging="357"/>
        <w:jc w:val="both"/>
        <w:rPr>
          <w:rFonts w:cs="Calibri" w:cstheme="minorHAnsi"/>
          <w:szCs w:val="22"/>
        </w:rPr>
      </w:pPr>
      <w:r>
        <w:rPr>
          <w:rFonts w:cs="Calibri" w:cstheme="minorHAnsi"/>
          <w:szCs w:val="22"/>
        </w:rPr>
        <w:t>Le mode de règlement est le mandat administratif établi en euros.</w:t>
      </w:r>
    </w:p>
    <w:p>
      <w:pPr>
        <w:pStyle w:val="Retraitdecorpsdetexte"/>
        <w:numPr>
          <w:ilvl w:val="3"/>
          <w:numId w:val="6"/>
        </w:numPr>
        <w:spacing w:before="0" w:after="80"/>
        <w:ind w:left="567" w:hanging="357"/>
        <w:jc w:val="both"/>
        <w:rPr>
          <w:rFonts w:cs="Calibri" w:cstheme="minorHAnsi"/>
          <w:b/>
          <w:b/>
          <w:color w:val="76923C"/>
          <w:szCs w:val="22"/>
        </w:rPr>
      </w:pPr>
      <w:r>
        <w:rPr>
          <w:rFonts w:cs="Calibri" w:cstheme="minorHAnsi"/>
          <w:szCs w:val="22"/>
        </w:rPr>
        <w:t>En cas de retard de paiement, le titulaire a droit au versement d’intérêts moratoires, ainsi qu’à une indemnité forfaitaire pour frais de recouvrement d’un montant de 40 €. Le taux des intérêts moratoires est égal au taux d’intérêt appliqué par la Banque centrale européenne à ses opérations principales de refinancement les plus récentes, en vigueur au premier jour du semestre de l’année civile au cours duquel les intérêts moratoires ont commencé à courir, majoré de huit points de pourcentage.</w:t>
      </w:r>
    </w:p>
    <w:p>
      <w:pPr>
        <w:pStyle w:val="Retraitdecorpsdetexte"/>
        <w:numPr>
          <w:ilvl w:val="3"/>
          <w:numId w:val="6"/>
        </w:numPr>
        <w:ind w:left="567" w:hanging="360"/>
        <w:jc w:val="both"/>
        <w:rPr>
          <w:rFonts w:cs="Calibri" w:cstheme="minorHAnsi"/>
          <w:szCs w:val="22"/>
        </w:rPr>
      </w:pPr>
      <w:r>
        <w:rPr>
          <w:rFonts w:cs="Calibri" w:cstheme="minorHAnsi"/>
          <w:szCs w:val="22"/>
        </w:rPr>
        <w:t xml:space="preserve">La personne publique contractante se libérera des sommes dues au titre du présent marché en faisant porter le montant au crédit du ou des comptes signalés par </w:t>
      </w:r>
      <w:r>
        <w:rPr>
          <w:rFonts w:cs="Calibri" w:cstheme="minorHAnsi"/>
          <w:b/>
          <w:bCs/>
          <w:szCs w:val="22"/>
          <w:u w:val="single"/>
        </w:rPr>
        <w:t>relevé d’identité bancaire</w:t>
      </w:r>
      <w:r>
        <w:rPr>
          <w:rFonts w:cs="Calibri" w:cstheme="minorHAnsi"/>
          <w:bCs/>
          <w:szCs w:val="22"/>
        </w:rPr>
        <w:t xml:space="preserve"> (R.I.B.).</w:t>
      </w:r>
    </w:p>
    <w:p>
      <w:pPr>
        <w:pStyle w:val="Retraitdecorpsdetexte"/>
        <w:ind w:left="0" w:hanging="0"/>
        <w:jc w:val="both"/>
        <w:rPr>
          <w:rFonts w:cs="Calibri" w:cstheme="minorHAnsi"/>
          <w:szCs w:val="22"/>
        </w:rPr>
      </w:pPr>
      <w:r>
        <w:rPr>
          <w:rFonts w:cs="Calibri" w:cstheme="minorHAnsi"/>
          <w:szCs w:val="22"/>
        </w:rPr>
      </w:r>
    </w:p>
    <w:p>
      <w:pPr>
        <w:pStyle w:val="Titre8"/>
        <w:rPr/>
      </w:pPr>
      <w:r>
        <w:rPr/>
        <w:t>1.4.3 - Facturation électronique</w:t>
      </w:r>
    </w:p>
    <w:p>
      <w:pPr>
        <w:pStyle w:val="Normal"/>
        <w:jc w:val="both"/>
        <w:rPr/>
      </w:pPr>
      <w:r>
        <w:rPr>
          <w:rFonts w:cs="Calibri" w:cstheme="minorHAnsi"/>
          <w:b/>
          <w:szCs w:val="22"/>
        </w:rPr>
        <w:t>Au 1</w:t>
      </w:r>
      <w:r>
        <w:rPr>
          <w:rFonts w:cs="Calibri" w:cstheme="minorHAnsi"/>
          <w:b/>
          <w:szCs w:val="22"/>
          <w:vertAlign w:val="superscript"/>
        </w:rPr>
        <w:t>er</w:t>
      </w:r>
      <w:r>
        <w:rPr>
          <w:rFonts w:cs="Calibri" w:cstheme="minorHAnsi"/>
          <w:b/>
          <w:szCs w:val="22"/>
        </w:rPr>
        <w:t xml:space="preserve"> janvier 2020</w:t>
      </w:r>
      <w:hyperlink r:id="rId3">
        <w:r>
          <w:rPr>
            <w:rFonts w:cs="Calibri" w:cstheme="minorHAnsi"/>
            <w:szCs w:val="22"/>
          </w:rPr>
          <w:t xml:space="preserve">, la facturation électronique est obligatoire pour toutes les entreprises, y compris les très petites entreprises (moins de 10 salariés). Elle est gratuite et s’effectue sur le portail : </w:t>
        </w:r>
      </w:hyperlink>
    </w:p>
    <w:p>
      <w:pPr>
        <w:pStyle w:val="Normal"/>
        <w:jc w:val="both"/>
        <w:rPr>
          <w:rFonts w:cs="Calibri" w:cstheme="minorHAnsi"/>
          <w:szCs w:val="22"/>
        </w:rPr>
      </w:pPr>
      <w:hyperlink r:id="rId4">
        <w:r>
          <w:rPr>
            <w:webHidden/>
            <w:rStyle w:val="LienInternet"/>
            <w:rFonts w:cs="Calibri" w:cstheme="minorHAnsi"/>
            <w:szCs w:val="22"/>
          </w:rPr>
          <w:t>https://chorus-pro.gouv.fr</w:t>
        </w:r>
      </w:hyperlink>
    </w:p>
    <w:p>
      <w:pPr>
        <w:pStyle w:val="Normal"/>
        <w:jc w:val="both"/>
        <w:rPr>
          <w:rFonts w:cs="Calibri" w:cstheme="minorHAnsi"/>
          <w:iCs/>
          <w:color w:val="0000FF"/>
          <w:szCs w:val="22"/>
          <w:u w:val="single"/>
        </w:rPr>
      </w:pPr>
      <w:hyperlink r:id="rId5">
        <w:r>
          <w:rPr>
            <w:webHidden/>
          </w:rPr>
        </w:r>
      </w:hyperlink>
    </w:p>
    <w:p>
      <w:pPr>
        <w:pStyle w:val="ParagrapheIndent2"/>
        <w:spacing w:lineRule="exact" w:line="232"/>
        <w:ind w:left="20" w:right="20" w:hanging="0"/>
        <w:jc w:val="both"/>
        <w:rPr>
          <w:rFonts w:ascii="Calibri" w:hAnsi="Calibri" w:cs="Calibri" w:asciiTheme="minorHAnsi" w:cstheme="minorHAnsi" w:hAnsiTheme="minorHAnsi"/>
          <w:smallCaps/>
          <w:color w:val="000000"/>
          <w:sz w:val="22"/>
          <w:szCs w:val="22"/>
          <w:lang w:val="fr-FR"/>
        </w:rPr>
      </w:pPr>
      <w:r>
        <w:rPr>
          <w:rFonts w:cs="Calibri" w:ascii="Calibri" w:hAnsi="Calibri" w:asciiTheme="minorHAnsi" w:cstheme="minorHAnsi" w:hAnsiTheme="minorHAnsi"/>
          <w:smallCaps/>
          <w:color w:val="000000"/>
          <w:sz w:val="22"/>
          <w:szCs w:val="22"/>
          <w:u w:val="single"/>
          <w:lang w:val="fr-FR"/>
        </w:rPr>
        <w:t>Dispositions applicables en matière de facturation électronique</w:t>
      </w:r>
      <w:r>
        <w:rPr>
          <w:rFonts w:cs="Calibri" w:ascii="Calibri" w:hAnsi="Calibri" w:asciiTheme="minorHAnsi" w:cstheme="minorHAnsi" w:hAnsiTheme="minorHAnsi"/>
          <w:smallCaps/>
          <w:color w:val="000000"/>
          <w:sz w:val="22"/>
          <w:szCs w:val="22"/>
          <w:lang w:val="fr-FR"/>
        </w:rPr>
        <w:t xml:space="preserve"> :</w:t>
      </w:r>
    </w:p>
    <w:p>
      <w:pPr>
        <w:pStyle w:val="ParagrapheIndent2"/>
        <w:spacing w:lineRule="exact" w:line="232"/>
        <w:ind w:left="20" w:right="20" w:hanging="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Outre les mentions légales, les factures électroniques transmises par le titulaire et le(s) sous-traitant(s) admis au paiement direct comportent les mentions suivantes :</w:t>
      </w:r>
    </w:p>
    <w:p>
      <w:pPr>
        <w:pStyle w:val="ParagrapheIndent2"/>
        <w:spacing w:lineRule="exact" w:line="232"/>
        <w:ind w:left="20" w:right="20" w:hanging="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1° La date d'émission de la facture ;</w:t>
      </w:r>
    </w:p>
    <w:p>
      <w:pPr>
        <w:pStyle w:val="ParagrapheIndent2"/>
        <w:spacing w:lineRule="exact" w:line="232"/>
        <w:ind w:left="20" w:right="20" w:hanging="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2° La désignation de l'émetteur et du destinataire de la facture ;</w:t>
      </w:r>
    </w:p>
    <w:p>
      <w:pPr>
        <w:pStyle w:val="ParagrapheIndent2"/>
        <w:spacing w:lineRule="exact" w:line="232"/>
        <w:ind w:left="20" w:right="20" w:hanging="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3° Le numéro unique basé sur une séquence chronologique et continue établie par l'émetteur de la facture, la numérotation pouvant être établie dans ces conditions sur une ou plusieurs séries ;</w:t>
      </w:r>
    </w:p>
    <w:p>
      <w:pPr>
        <w:pStyle w:val="ParagrapheIndent2"/>
        <w:spacing w:lineRule="exact" w:line="232"/>
        <w:ind w:left="20" w:right="20" w:hanging="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4° En cas de contrat exécuté au moyen de bons de commande, le numéro du bon de commande ou, dans les autres cas, le numéro de l'engagement généré par le système d'information financière et comptable de l'entité publique ;</w:t>
      </w:r>
    </w:p>
    <w:p>
      <w:pPr>
        <w:pStyle w:val="ParagrapheIndent2"/>
        <w:spacing w:lineRule="exact" w:line="232"/>
        <w:ind w:left="20" w:right="20" w:hanging="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5° Le code d'identification du service en charge du paiement ;</w:t>
      </w:r>
    </w:p>
    <w:p>
      <w:pPr>
        <w:pStyle w:val="ParagrapheIndent2"/>
        <w:spacing w:lineRule="exact" w:line="232"/>
        <w:ind w:left="20" w:right="20" w:hanging="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6° La date de livraison des fournitures ou d'exécution des services ou des travaux ;</w:t>
      </w:r>
    </w:p>
    <w:p>
      <w:pPr>
        <w:pStyle w:val="ParagrapheIndent2"/>
        <w:spacing w:lineRule="exact" w:line="232"/>
        <w:ind w:left="20" w:right="20" w:hanging="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7° La quantité et la dénomination précise des produits livrés, des prestations et travaux réalisés ;</w:t>
      </w:r>
    </w:p>
    <w:p>
      <w:pPr>
        <w:pStyle w:val="ParagrapheIndent2"/>
        <w:spacing w:lineRule="exact" w:line="232"/>
        <w:ind w:left="20" w:right="20" w:hanging="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8° Le prix unitaire hors taxes des produits livrés, des prestations et travaux réalisés ou, lorsqu'il y a lieu, leur prix forfaitaire ;</w:t>
      </w:r>
    </w:p>
    <w:p>
      <w:pPr>
        <w:pStyle w:val="ParagrapheIndent2"/>
        <w:spacing w:lineRule="exact" w:line="232"/>
        <w:ind w:left="20" w:right="20" w:hanging="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9° Le montant total hors taxes et le montant de la taxe à payer, ainsi que la répartition de ces montants par taux de taxe sur la valeur ajoutée, ou, le cas échéant, le bénéfice d'une exonération ;</w:t>
      </w:r>
    </w:p>
    <w:p>
      <w:pPr>
        <w:pStyle w:val="ParagrapheIndent2"/>
        <w:spacing w:lineRule="exact" w:line="232"/>
        <w:ind w:left="20" w:right="20" w:hanging="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10° Le cas échéant, les modalités particulières de règlement ;</w:t>
      </w:r>
    </w:p>
    <w:p>
      <w:pPr>
        <w:pStyle w:val="ParagrapheIndent2"/>
        <w:spacing w:lineRule="exact" w:line="232"/>
        <w:ind w:left="20" w:right="20" w:hanging="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11° Le cas échéant, les renseignements relatifs aux déductions ou versements complémentaires.</w:t>
      </w:r>
    </w:p>
    <w:p>
      <w:pPr>
        <w:pStyle w:val="ParagrapheIndent2"/>
        <w:spacing w:lineRule="exact" w:line="232"/>
        <w:ind w:left="20" w:right="20" w:hanging="0"/>
        <w:jc w:val="both"/>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ParagrapheIndent2"/>
        <w:spacing w:lineRule="exact" w:line="232"/>
        <w:ind w:left="20" w:right="20" w:hanging="0"/>
        <w:jc w:val="both"/>
        <w:rPr>
          <w:rFonts w:ascii="Calibri" w:hAnsi="Calibri" w:cs="Calibri" w:asciiTheme="minorHAnsi" w:cstheme="minorHAnsi" w:hAnsiTheme="minorHAnsi"/>
          <w:color w:val="000000"/>
          <w:sz w:val="22"/>
          <w:szCs w:val="22"/>
          <w:lang w:val="fr-FR"/>
        </w:rPr>
      </w:pPr>
      <w:r>
        <w:rPr>
          <w:rFonts w:cs="Calibri" w:ascii="Calibri" w:hAnsi="Calibri" w:asciiTheme="minorHAnsi" w:cstheme="minorHAnsi" w:hAnsiTheme="minorHAnsi"/>
          <w:color w:val="000000"/>
          <w:sz w:val="22"/>
          <w:szCs w:val="22"/>
          <w:lang w:val="fr-FR"/>
        </w:rPr>
        <w:t>Elles comportent également le numéro d'identité de l'émetteur (ou à défaut, son identifiant) et celui du destinataire de la facture.</w:t>
      </w:r>
    </w:p>
    <w:p>
      <w:pPr>
        <w:pStyle w:val="ParagrapheIndent2"/>
        <w:spacing w:lineRule="exact" w:line="232"/>
        <w:ind w:left="20" w:right="20" w:hanging="0"/>
        <w:jc w:val="both"/>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
        <w:jc w:val="both"/>
        <w:rPr/>
      </w:pPr>
      <w:r>
        <w:rPr>
          <w:rFonts w:cs="Calibri" w:cstheme="minorHAnsi"/>
          <w:color w:val="000000"/>
          <w:szCs w:val="22"/>
        </w:rPr>
        <w:t xml:space="preserve">Le dépôt, la transmission et la réception des factures électroniques sont effectués exclusivement sur le portail de facturation </w:t>
      </w:r>
      <w:r>
        <w:rPr>
          <w:rFonts w:cs="Calibri" w:cstheme="minorHAnsi"/>
          <w:b/>
          <w:color w:val="000000"/>
          <w:szCs w:val="22"/>
        </w:rPr>
        <w:t>Chorus Pro</w:t>
      </w:r>
      <w:hyperlink r:id="rId6">
        <w:r>
          <w:rPr>
            <w:rFonts w:cs="Calibri" w:cstheme="minorHAnsi"/>
            <w:color w:val="000000"/>
            <w:szCs w:val="22"/>
          </w:rPr>
          <w:t xml:space="preserve"> (</w:t>
        </w:r>
      </w:hyperlink>
    </w:p>
    <w:p>
      <w:pPr>
        <w:pStyle w:val="Normal"/>
        <w:jc w:val="both"/>
        <w:rPr>
          <w:rFonts w:cs="Calibri" w:cstheme="minorHAnsi"/>
          <w:color w:val="000000"/>
          <w:szCs w:val="22"/>
        </w:rPr>
      </w:pPr>
      <w:hyperlink r:id="rId7">
        <w:r>
          <w:rPr>
            <w:webHidden/>
            <w:rStyle w:val="LienInternet"/>
            <w:rFonts w:cs="Calibri" w:cstheme="minorHAnsi"/>
            <w:szCs w:val="22"/>
          </w:rPr>
          <w:t>https://chorus-pro.gouv.fr</w:t>
        </w:r>
      </w:hyperlink>
      <w:r>
        <w:rPr>
          <w:rFonts w:cs="Calibri" w:cstheme="minorHAnsi"/>
          <w:color w:val="000000"/>
          <w:szCs w:val="22"/>
        </w:rPr>
        <w:t>). Lorsqu'une facture est transmise en dehors de ce portail, la personne publique peut la rejeter après avoir rappelé cette obligation à l'émetteur et l'avoir invité à s'y conformer.</w:t>
      </w:r>
    </w:p>
    <w:p>
      <w:pPr>
        <w:pStyle w:val="ParagrapheIndent2"/>
        <w:spacing w:lineRule="exact" w:line="232"/>
        <w:ind w:left="20" w:right="20" w:hanging="0"/>
        <w:jc w:val="both"/>
        <w:rPr>
          <w:rFonts w:ascii="Calibri" w:hAnsi="Calibri" w:cs="Calibri" w:asciiTheme="minorHAnsi" w:cstheme="minorHAnsi" w:hAnsiTheme="minorHAnsi"/>
          <w:color w:val="000000"/>
          <w:sz w:val="22"/>
          <w:szCs w:val="22"/>
          <w:lang w:val="fr-FR"/>
        </w:rPr>
      </w:pPr>
      <w:r>
        <w:rPr>
          <w:rFonts w:cs="Calibri" w:cstheme="minorHAnsi" w:ascii="Calibri" w:hAnsi="Calibri"/>
          <w:color w:val="000000"/>
          <w:sz w:val="22"/>
          <w:szCs w:val="22"/>
          <w:lang w:val="fr-FR"/>
        </w:rPr>
      </w:r>
    </w:p>
    <w:p>
      <w:pPr>
        <w:pStyle w:val="Normal"/>
        <w:jc w:val="both"/>
        <w:rPr>
          <w:rFonts w:cs="Calibri" w:cstheme="minorHAnsi"/>
          <w:color w:val="000000"/>
          <w:szCs w:val="22"/>
        </w:rPr>
      </w:pPr>
      <w:r>
        <w:rPr>
          <w:rFonts w:cs="Calibri" w:cstheme="minorHAnsi"/>
          <w:color w:val="000000"/>
          <w:szCs w:val="22"/>
        </w:rPr>
        <w:t>La date de réception d'une demande de paiement transmise par voie électronique correspond à la date de notification du message électronique informant l'acheteur de la mise à disposition de la facture sur le portail de facturation (ou, le cas échéant, à la date d'horodatage de la facture par le système d'information budgétaire et comptable de l'Etat pour une facture transmise par échange de données informatisé).</w:t>
      </w:r>
    </w:p>
    <w:p>
      <w:pPr>
        <w:pStyle w:val="Normal"/>
        <w:jc w:val="both"/>
        <w:rPr>
          <w:rFonts w:cs="Calibri" w:cstheme="minorHAnsi"/>
          <w:color w:val="000000"/>
          <w:szCs w:val="22"/>
        </w:rPr>
      </w:pPr>
      <w:r>
        <w:rPr>
          <w:rFonts w:cs="Calibri" w:cstheme="minorHAnsi"/>
          <w:color w:val="000000"/>
          <w:szCs w:val="22"/>
        </w:rPr>
      </w:r>
    </w:p>
    <w:p>
      <w:pPr>
        <w:pStyle w:val="Retraitdecorpsdetexte"/>
        <w:ind w:left="142" w:hanging="0"/>
        <w:jc w:val="both"/>
        <w:rPr>
          <w:rFonts w:cs="Calibri" w:cstheme="minorHAnsi"/>
          <w:b/>
          <w:b/>
          <w:bCs/>
          <w:szCs w:val="22"/>
          <w:u w:val="single"/>
        </w:rPr>
      </w:pPr>
      <w:r>
        <w:rPr>
          <w:rFonts w:cs="Calibri" w:cstheme="minorHAnsi"/>
          <w:b/>
          <w:bCs/>
          <w:szCs w:val="22"/>
          <w:u w:val="single"/>
        </w:rPr>
        <w:t>Désaccord sur le règlement</w:t>
      </w:r>
      <w:r>
        <w:rPr>
          <w:rFonts w:cs="Calibri" w:cstheme="minorHAnsi"/>
          <w:b/>
          <w:bCs/>
          <w:szCs w:val="22"/>
        </w:rPr>
        <w:t> :</w:t>
      </w:r>
    </w:p>
    <w:p>
      <w:pPr>
        <w:pStyle w:val="Normal"/>
        <w:jc w:val="both"/>
        <w:rPr>
          <w:rFonts w:cs="Calibri" w:cstheme="minorHAnsi"/>
          <w:szCs w:val="22"/>
        </w:rPr>
      </w:pPr>
      <w:r>
        <w:rPr>
          <w:rFonts w:cs="Calibri" w:cstheme="minorHAnsi"/>
          <w:szCs w:val="22"/>
        </w:rPr>
        <w:t>En cas de rejet des factures par la Ville (désaccord sur les montants, les quantités…), le titulaire en sera informé par écrit en RAR.</w:t>
      </w:r>
    </w:p>
    <w:p>
      <w:pPr>
        <w:pStyle w:val="Normal2"/>
        <w:ind w:left="0" w:hanging="0"/>
        <w:jc w:val="left"/>
        <w:rPr>
          <w:rFonts w:ascii="Calibri" w:hAnsi="Calibri" w:cs="Calibri" w:asciiTheme="minorHAnsi" w:cstheme="minorHAnsi" w:hAnsiTheme="minorHAnsi"/>
          <w:szCs w:val="22"/>
        </w:rPr>
      </w:pPr>
      <w:bookmarkStart w:id="5" w:name="_Toc441823000"/>
      <w:bookmarkEnd w:id="5"/>
      <w:r>
        <w:rPr>
          <w:rFonts w:cs="Calibri" w:ascii="Calibri" w:hAnsi="Calibri" w:asciiTheme="minorHAnsi" w:cstheme="minorHAnsi" w:hAnsiTheme="minorHAnsi"/>
          <w:szCs w:val="22"/>
        </w:rPr>
        <w:t>Le délai de mandatement de la somme à laquelle le titulaire prétend sera suspendu jusqu'à réception par la Ville de la nouvelle facture rectifiée ou à réception des documents nécessaires au règlement</w:t>
      </w:r>
    </w:p>
    <w:p>
      <w:pPr>
        <w:pStyle w:val="Retraitdecorpsdetexte"/>
        <w:ind w:left="0" w:hanging="0"/>
        <w:jc w:val="both"/>
        <w:rPr>
          <w:sz w:val="20"/>
          <w:szCs w:val="20"/>
        </w:rPr>
      </w:pPr>
      <w:r>
        <w:rPr>
          <w:sz w:val="20"/>
          <w:szCs w:val="20"/>
        </w:rPr>
      </w:r>
    </w:p>
    <w:p>
      <w:pPr>
        <w:pStyle w:val="Titre3"/>
        <w:numPr>
          <w:ilvl w:val="1"/>
          <w:numId w:val="8"/>
        </w:numPr>
        <w:ind w:left="0" w:firstLine="6"/>
        <w:rPr/>
      </w:pPr>
      <w:bookmarkStart w:id="6" w:name="_Toc4597730"/>
      <w:r>
        <w:rPr/>
        <w:t>- CLAUSES DE FINANCEMENT ET DE SURETE</w:t>
      </w:r>
      <w:bookmarkEnd w:id="6"/>
      <w:r>
        <w:rPr/>
        <w:t xml:space="preserve"> </w:t>
      </w:r>
    </w:p>
    <w:p>
      <w:pPr>
        <w:pStyle w:val="Titre8"/>
        <w:rPr/>
      </w:pPr>
      <w:bookmarkStart w:id="7" w:name="_Toc160337216"/>
      <w:bookmarkEnd w:id="7"/>
      <w:r>
        <w:rPr/>
        <w:t>1.5.1 - Garantie financière</w:t>
      </w:r>
    </w:p>
    <w:p>
      <w:pPr>
        <w:pStyle w:val="Normal2"/>
        <w:tabs>
          <w:tab w:val="left" w:pos="567" w:leader="none"/>
          <w:tab w:val="left" w:pos="851" w:leader="none"/>
        </w:tabs>
        <w:ind w:left="0" w:hanging="0"/>
        <w:rPr>
          <w:rFonts w:ascii="Calibri" w:hAnsi="Calibri" w:cs="Tahoma" w:asciiTheme="minorHAnsi" w:hAnsiTheme="minorHAnsi"/>
        </w:rPr>
      </w:pPr>
      <w:r>
        <w:rPr>
          <w:rFonts w:cs="Tahoma" w:ascii="Calibri" w:hAnsi="Calibri" w:asciiTheme="minorHAnsi" w:hAnsiTheme="minorHAnsi"/>
        </w:rPr>
        <w:t>Aucune clause de garantie financière ne sera appliquée.</w:t>
      </w:r>
    </w:p>
    <w:p>
      <w:pPr>
        <w:pStyle w:val="Normal2"/>
        <w:ind w:left="1100" w:hanging="0"/>
        <w:rPr>
          <w:rFonts w:ascii="Tahoma" w:hAnsi="Tahoma" w:cs="Tahoma"/>
          <w:sz w:val="20"/>
        </w:rPr>
      </w:pPr>
      <w:r>
        <w:rPr>
          <w:rFonts w:cs="Tahoma" w:ascii="Tahoma" w:hAnsi="Tahoma"/>
          <w:sz w:val="20"/>
        </w:rPr>
      </w:r>
    </w:p>
    <w:p>
      <w:pPr>
        <w:pStyle w:val="Titre8"/>
        <w:rPr/>
      </w:pPr>
      <w:bookmarkStart w:id="8" w:name="_Toc160337217"/>
      <w:bookmarkEnd w:id="8"/>
      <w:r>
        <w:rPr/>
        <w:t>1.5.2 - Les avances</w:t>
      </w:r>
    </w:p>
    <w:p>
      <w:pPr>
        <w:pStyle w:val="Retraitdecorpsdetexte"/>
        <w:ind w:left="0" w:hanging="0"/>
        <w:rPr/>
      </w:pPr>
      <w:r>
        <w:rPr>
          <w:u w:val="single"/>
        </w:rPr>
        <w:t>Conditions de versement et de remboursement</w:t>
      </w:r>
    </w:p>
    <w:p>
      <w:pPr>
        <w:pStyle w:val="Normal3"/>
        <w:ind w:left="0" w:hanging="0"/>
        <w:rPr>
          <w:rFonts w:ascii="Calibri" w:hAnsi="Calibri" w:cs="Tahoma" w:asciiTheme="minorHAnsi" w:hAnsiTheme="minorHAnsi"/>
        </w:rPr>
      </w:pPr>
      <w:r>
        <w:rPr>
          <w:rFonts w:cs="Tahoma" w:ascii="Calibri" w:hAnsi="Calibri" w:asciiTheme="minorHAnsi" w:hAnsiTheme="minorHAnsi"/>
        </w:rPr>
        <w:t>Une avance est accordée en une seule fois au titulaire, sauf indication contraire dans l’acte d’engagement, lorsque le montant minimum du marché est supérieur à 50 000 €.HT et dans la mesure où le délai d’exécution est supérieur à 2 mois.</w:t>
      </w:r>
    </w:p>
    <w:p>
      <w:pPr>
        <w:pStyle w:val="Normal3"/>
        <w:ind w:left="567" w:hanging="0"/>
        <w:rPr>
          <w:rFonts w:ascii="Calibri" w:hAnsi="Calibri" w:cs="Tahoma" w:asciiTheme="minorHAnsi" w:hAnsiTheme="minorHAnsi"/>
          <w:sz w:val="16"/>
          <w:szCs w:val="16"/>
        </w:rPr>
      </w:pPr>
      <w:r>
        <w:rPr>
          <w:rFonts w:cs="Tahoma" w:ascii="Calibri" w:hAnsi="Calibri"/>
          <w:sz w:val="16"/>
          <w:szCs w:val="16"/>
        </w:rPr>
      </w:r>
    </w:p>
    <w:p>
      <w:pPr>
        <w:pStyle w:val="Normal3"/>
        <w:ind w:left="0" w:hanging="0"/>
        <w:rPr>
          <w:rFonts w:ascii="Calibri" w:hAnsi="Calibri" w:cs="Tahoma" w:asciiTheme="minorHAnsi" w:hAnsiTheme="minorHAnsi"/>
        </w:rPr>
      </w:pPr>
      <w:r>
        <w:rPr>
          <w:rFonts w:cs="Tahoma" w:ascii="Calibri" w:hAnsi="Calibri" w:asciiTheme="minorHAnsi" w:hAnsiTheme="minorHAnsi"/>
        </w:rPr>
        <w:t>Le montant de l’avance est fixé à 5,00 % du montant minimum du marché si la durée du marché est inférieure ou égale à douze mois ; si cette durée est supérieure à douze mois, l’avance est égale à 5,00 % d’une somme égale à douze fois le montant minimum divisé par cette durée exprimée en mois.</w:t>
      </w:r>
    </w:p>
    <w:p>
      <w:pPr>
        <w:pStyle w:val="Normal3"/>
        <w:ind w:left="567" w:hanging="0"/>
        <w:rPr>
          <w:rFonts w:ascii="Calibri" w:hAnsi="Calibri" w:cs="Tahoma" w:asciiTheme="minorHAnsi" w:hAnsiTheme="minorHAnsi"/>
          <w:sz w:val="16"/>
          <w:szCs w:val="16"/>
        </w:rPr>
      </w:pPr>
      <w:r>
        <w:rPr>
          <w:rFonts w:cs="Tahoma" w:ascii="Calibri" w:hAnsi="Calibri"/>
          <w:sz w:val="16"/>
          <w:szCs w:val="16"/>
        </w:rPr>
      </w:r>
    </w:p>
    <w:p>
      <w:pPr>
        <w:pStyle w:val="Normal3"/>
        <w:ind w:left="0" w:hanging="0"/>
        <w:rPr>
          <w:rFonts w:ascii="Calibri" w:hAnsi="Calibri" w:cs="Tahoma" w:asciiTheme="minorHAnsi" w:hAnsiTheme="minorHAnsi"/>
        </w:rPr>
      </w:pPr>
      <w:r>
        <w:rPr>
          <w:rFonts w:cs="Tahoma" w:ascii="Calibri" w:hAnsi="Calibri" w:asciiTheme="minorHAnsi" w:hAnsiTheme="minorHAnsi"/>
        </w:rPr>
        <w:t>Le montant de l’avance ne peut être affecté par la mise en oeuvre d’une clause de variation de prix.</w:t>
      </w:r>
    </w:p>
    <w:p>
      <w:pPr>
        <w:pStyle w:val="Normal3"/>
        <w:ind w:left="567" w:hanging="0"/>
        <w:rPr>
          <w:rFonts w:ascii="Calibri" w:hAnsi="Calibri" w:cs="Tahoma" w:asciiTheme="minorHAnsi" w:hAnsiTheme="minorHAnsi"/>
          <w:sz w:val="16"/>
          <w:szCs w:val="16"/>
        </w:rPr>
      </w:pPr>
      <w:r>
        <w:rPr>
          <w:rFonts w:cs="Tahoma" w:ascii="Calibri" w:hAnsi="Calibri"/>
          <w:sz w:val="16"/>
          <w:szCs w:val="16"/>
        </w:rPr>
      </w:r>
    </w:p>
    <w:p>
      <w:pPr>
        <w:pStyle w:val="Normal3"/>
        <w:ind w:left="0" w:hanging="0"/>
        <w:rPr>
          <w:rFonts w:ascii="Calibri" w:hAnsi="Calibri" w:cs="Tahoma" w:asciiTheme="minorHAnsi" w:hAnsiTheme="minorHAnsi"/>
        </w:rPr>
      </w:pPr>
      <w:r>
        <w:rPr>
          <w:rFonts w:cs="Tahoma" w:ascii="Calibri" w:hAnsi="Calibri" w:asciiTheme="minorHAnsi" w:hAnsiTheme="minorHAnsi"/>
        </w:rPr>
        <w:t>Le remboursement de l’avance commence lorsque le montant des prestations exécutées par le titulaire atteint ou dépasse 65,00 % du montant minimum du marché. Il doit être terminé lorsque ledit montant atteint 80,00 % du montant minimum, toutes taxes comprises.</w:t>
      </w:r>
    </w:p>
    <w:p>
      <w:pPr>
        <w:pStyle w:val="Normal3"/>
        <w:ind w:left="567" w:hanging="0"/>
        <w:rPr>
          <w:rFonts w:ascii="Calibri" w:hAnsi="Calibri" w:cs="Tahoma" w:asciiTheme="minorHAnsi" w:hAnsiTheme="minorHAnsi"/>
          <w:sz w:val="16"/>
          <w:szCs w:val="16"/>
        </w:rPr>
      </w:pPr>
      <w:r>
        <w:rPr>
          <w:rFonts w:cs="Tahoma" w:ascii="Calibri" w:hAnsi="Calibri"/>
          <w:sz w:val="16"/>
          <w:szCs w:val="16"/>
        </w:rPr>
      </w:r>
    </w:p>
    <w:p>
      <w:pPr>
        <w:pStyle w:val="Normal3"/>
        <w:ind w:left="0" w:hanging="0"/>
        <w:rPr>
          <w:rFonts w:ascii="Calibri" w:hAnsi="Calibri" w:cs="Tahoma" w:asciiTheme="minorHAnsi" w:hAnsiTheme="minorHAnsi"/>
        </w:rPr>
      </w:pPr>
      <w:r>
        <w:rPr>
          <w:rFonts w:cs="Tahoma" w:ascii="Calibri" w:hAnsi="Calibri" w:asciiTheme="minorHAnsi" w:hAnsiTheme="minorHAnsi"/>
        </w:rPr>
        <w:t>Ce remboursement s’effectue par précompte sur les sommes dues ultérieurement au titulaire à titre d’acompte ou de solde.</w:t>
      </w:r>
    </w:p>
    <w:p>
      <w:pPr>
        <w:pStyle w:val="Normal3"/>
        <w:ind w:left="567" w:hanging="0"/>
        <w:rPr>
          <w:rFonts w:ascii="Calibri" w:hAnsi="Calibri" w:cs="Tahoma" w:asciiTheme="minorHAnsi" w:hAnsiTheme="minorHAnsi"/>
          <w:sz w:val="16"/>
          <w:szCs w:val="16"/>
        </w:rPr>
      </w:pPr>
      <w:r>
        <w:rPr>
          <w:rFonts w:cs="Tahoma" w:ascii="Calibri" w:hAnsi="Calibri"/>
          <w:sz w:val="16"/>
          <w:szCs w:val="16"/>
        </w:rPr>
      </w:r>
    </w:p>
    <w:p>
      <w:pPr>
        <w:pStyle w:val="Normal3"/>
        <w:ind w:left="0" w:hanging="0"/>
        <w:rPr>
          <w:rFonts w:ascii="Calibri" w:hAnsi="Calibri" w:cs="Tahoma" w:asciiTheme="minorHAnsi" w:hAnsiTheme="minorHAnsi"/>
        </w:rPr>
      </w:pPr>
      <w:r>
        <w:rPr>
          <w:rFonts w:cs="Tahoma" w:ascii="Calibri" w:hAnsi="Calibri" w:asciiTheme="minorHAnsi" w:hAnsiTheme="minorHAnsi"/>
          <w:b/>
        </w:rPr>
        <w:t>Nota :</w:t>
      </w:r>
      <w:r>
        <w:rPr>
          <w:rFonts w:cs="Tahoma" w:ascii="Calibri" w:hAnsi="Calibri" w:asciiTheme="minorHAnsi" w:hAnsiTheme="minorHAnsi"/>
        </w:rPr>
        <w:t xml:space="preserve"> Une avance peut être versée, sur leur demande, aux sous-traitants bénéficiaires du paiement direct suivant les mêmes  dispositions (taux de l’avance et conditions de versement et de remboursement ...)  que celles applicables au titulaire du marché, avec les particularités détaillées aux articles L.2191-2 , L.2191-3, R.2191-3 à R.2191-19 du Code de la Commande Publique.</w:t>
      </w:r>
    </w:p>
    <w:p>
      <w:pPr>
        <w:pStyle w:val="Normal"/>
        <w:rPr>
          <w:b/>
          <w:b/>
          <w:bCs/>
          <w:sz w:val="20"/>
          <w:szCs w:val="20"/>
        </w:rPr>
      </w:pPr>
      <w:r>
        <w:rPr>
          <w:b/>
          <w:bCs/>
          <w:sz w:val="20"/>
          <w:szCs w:val="20"/>
        </w:rPr>
      </w:r>
    </w:p>
    <w:p>
      <w:pPr>
        <w:pStyle w:val="Titre3"/>
        <w:numPr>
          <w:ilvl w:val="1"/>
          <w:numId w:val="8"/>
        </w:numPr>
        <w:ind w:left="0" w:firstLine="6"/>
        <w:rPr/>
      </w:pPr>
      <w:bookmarkStart w:id="9" w:name="_Toc4597731"/>
      <w:r>
        <w:rPr/>
        <w:t xml:space="preserve">– </w:t>
      </w:r>
      <w:r>
        <w:rPr/>
        <w:t>PRIX</w:t>
      </w:r>
      <w:bookmarkEnd w:id="9"/>
      <w:r>
        <w:rPr/>
        <w:t xml:space="preserve"> </w:t>
      </w:r>
    </w:p>
    <w:p>
      <w:pPr>
        <w:pStyle w:val="Titre8"/>
        <w:rPr/>
      </w:pPr>
      <w:r>
        <w:rPr/>
        <w:t>1.6.1 – Caractéristiques des prix pratiqués</w:t>
      </w:r>
    </w:p>
    <w:p>
      <w:pPr>
        <w:pStyle w:val="Normal2"/>
        <w:tabs>
          <w:tab w:val="left" w:pos="1134" w:leader="none"/>
        </w:tabs>
        <w:ind w:left="0" w:hanging="0"/>
        <w:rPr>
          <w:rFonts w:ascii="Cambria" w:hAnsi="Cambria" w:asciiTheme="majorHAnsi" w:hAnsiTheme="majorHAnsi"/>
          <w:color w:val="000000" w:themeColor="text1"/>
        </w:rPr>
      </w:pPr>
      <w:r>
        <w:rPr>
          <w:rFonts w:ascii="Calibri" w:hAnsi="Calibri" w:asciiTheme="minorHAnsi" w:hAnsiTheme="minorHAnsi"/>
        </w:rPr>
        <w:t xml:space="preserve">Les </w:t>
      </w:r>
      <w:r>
        <w:rPr>
          <w:rFonts w:ascii="Calibri" w:hAnsi="Calibri" w:asciiTheme="minorHAnsi" w:hAnsiTheme="minorHAnsi"/>
          <w:color w:val="000000" w:themeColor="text1"/>
        </w:rPr>
        <w:t xml:space="preserve">prestations faisant l’objet du marché seront réglées par </w:t>
      </w:r>
      <w:r>
        <w:rPr>
          <w:rFonts w:cs="Calibri" w:ascii="Calibri" w:hAnsi="Calibri" w:asciiTheme="minorHAnsi" w:cstheme="minorHAnsi" w:hAnsiTheme="minorHAnsi"/>
          <w:color w:val="000000" w:themeColor="text1"/>
        </w:rPr>
        <w:t>application de prix unitaires.</w:t>
      </w:r>
    </w:p>
    <w:p>
      <w:pPr>
        <w:pStyle w:val="Normal"/>
        <w:rPr>
          <w:sz w:val="20"/>
          <w:szCs w:val="20"/>
        </w:rPr>
      </w:pPr>
      <w:r>
        <w:rPr>
          <w:sz w:val="20"/>
          <w:szCs w:val="20"/>
        </w:rPr>
      </w:r>
    </w:p>
    <w:p>
      <w:pPr>
        <w:pStyle w:val="Titre8"/>
        <w:rPr/>
      </w:pPr>
      <w:r>
        <w:rPr/>
        <w:t>1.6.2 – Contenu des prix</w:t>
      </w:r>
    </w:p>
    <w:p>
      <w:pPr>
        <w:pStyle w:val="Retraitdecorpsdetexte"/>
        <w:ind w:left="0" w:hanging="0"/>
        <w:jc w:val="both"/>
        <w:rPr/>
      </w:pPr>
      <w:r>
        <w:rPr/>
        <w:t>Les prix sont réputés comprendre toutes les charges fiscales, parafiscales ou autres entrant dans la composition du prix.</w:t>
      </w:r>
    </w:p>
    <w:p>
      <w:pPr>
        <w:pStyle w:val="Normal2"/>
        <w:tabs>
          <w:tab w:val="left" w:pos="1134" w:leader="none"/>
        </w:tabs>
        <w:ind w:left="0" w:hanging="0"/>
        <w:rPr>
          <w:rFonts w:ascii="Calibri" w:hAnsi="Calibri" w:asciiTheme="minorHAnsi" w:hAnsiTheme="minorHAnsi"/>
        </w:rPr>
      </w:pPr>
      <w:r>
        <w:rPr>
          <w:rFonts w:asciiTheme="minorHAnsi" w:hAnsiTheme="minorHAnsi" w:ascii="Calibri" w:hAnsi="Calibri"/>
        </w:rPr>
      </w:r>
    </w:p>
    <w:p>
      <w:pPr>
        <w:pStyle w:val="Normal2"/>
        <w:tabs>
          <w:tab w:val="left" w:pos="1134" w:leader="none"/>
        </w:tabs>
        <w:ind w:left="0" w:hanging="0"/>
        <w:rPr>
          <w:rFonts w:ascii="Calibri" w:hAnsi="Calibri" w:asciiTheme="minorHAnsi" w:hAnsiTheme="minorHAnsi"/>
        </w:rPr>
      </w:pPr>
      <w:r>
        <w:rPr>
          <w:rFonts w:ascii="Calibri" w:hAnsi="Calibri" w:asciiTheme="minorHAnsi" w:hAnsiTheme="minorHAnsi"/>
        </w:rPr>
        <w:t>Le marché est conclu sur la base des prix tels qu’indiqués dans le Bordereau des Prix Unitaires non exhaustif, puis sur la base des prix publics catalogues sur les quels s’appliquent les taux de remise consentis par le titulaire.</w:t>
      </w:r>
    </w:p>
    <w:p>
      <w:pPr>
        <w:pStyle w:val="Normal"/>
        <w:ind w:left="1065" w:hanging="0"/>
        <w:rPr>
          <w:rFonts w:ascii="Arial" w:hAnsi="Arial" w:cs="Arial"/>
        </w:rPr>
      </w:pPr>
      <w:r>
        <w:rPr>
          <w:rFonts w:cs="Arial" w:ascii="Arial" w:hAnsi="Arial"/>
        </w:rPr>
      </w:r>
    </w:p>
    <w:p>
      <w:pPr>
        <w:pStyle w:val="Titre8"/>
        <w:rPr/>
      </w:pPr>
      <w:r>
        <w:rPr/>
        <w:t>1.6.3 - Promotions exceptionnelles</w:t>
      </w:r>
    </w:p>
    <w:p>
      <w:pPr>
        <w:pStyle w:val="Normal"/>
        <w:jc w:val="both"/>
        <w:rPr/>
      </w:pPr>
      <w:r>
        <w:rPr>
          <w:rFonts w:cs="Arial"/>
          <w:szCs w:val="18"/>
        </w:rPr>
        <w:t>Le titulaire s’engage à faire bénéficier à la personne publique, à tout moment, des prix des offres promotionnelles qu’il est susceptible de proposer à l’ensemble de sa clientèle sur les services ou matériels et familles de services ou matériels objet du présent marché. Il notifie ces offres à la Mairie de Champs-sur-Marne dès leur parution en précisant leurs dates de validité. Ces prix s’appliquent aux commandes notifiées pendant la période promotionnelle, à condition qu’ils conduisent à des prix inférieurs aux prix nets résultant de l’application des clauses du marché. Ces offres promotionnelles sont considérées comme faisant partie intégrante de l’offre du titulaire.</w:t>
      </w:r>
    </w:p>
    <w:p>
      <w:pPr>
        <w:pStyle w:val="Normal"/>
        <w:jc w:val="both"/>
        <w:rPr/>
      </w:pPr>
      <w:r>
        <w:rPr/>
      </w:r>
    </w:p>
    <w:p>
      <w:pPr>
        <w:pStyle w:val="Titre8"/>
        <w:rPr/>
      </w:pPr>
      <w:r>
        <w:rPr/>
        <w:t>1.6.4 - Forme des prix</w:t>
      </w:r>
    </w:p>
    <w:p>
      <w:pPr>
        <w:pStyle w:val="Retraitdecorpsdetexte"/>
        <w:ind w:left="0" w:hanging="0"/>
        <w:jc w:val="both"/>
        <w:rPr/>
      </w:pPr>
      <w:r>
        <w:rPr/>
        <w:t>Le marché est traité à prix unitaires appliqués aux quantités réellement commandées. Le titulaire devra se conformer, pour l’établissement de ses factures, aux indications portées sur les bons de commande.</w:t>
      </w:r>
    </w:p>
    <w:p>
      <w:pPr>
        <w:pStyle w:val="Normal"/>
        <w:rPr/>
      </w:pPr>
      <w:r>
        <w:rPr/>
      </w:r>
    </w:p>
    <w:p>
      <w:pPr>
        <w:pStyle w:val="Titre8"/>
        <w:rPr/>
      </w:pPr>
      <w:r>
        <w:rPr/>
        <w:t>1.6.5 – Paiement des cotraitants et des sous-traitants</w:t>
      </w:r>
    </w:p>
    <w:p>
      <w:pPr>
        <w:pStyle w:val="Normal"/>
        <w:rPr/>
      </w:pPr>
      <w:r>
        <w:rPr/>
        <w:t>Le prestataire ne peut sous-traiter l’exécution de certaines parties de sa prestation que sous réserve de l’acceptation du (des) sous-traitant(s) par la Ville de Champs-sur-Marne et de l’agrément des conditions de paiement au sens de la loi du 31 décembre 1975 modifiée. La Ville  paie directement le(s) sous-traitant(s) lorsque la somme de ses prestations est égale ou supérieure à 600 € HT.</w:t>
      </w:r>
    </w:p>
    <w:p>
      <w:pPr>
        <w:pStyle w:val="Normal"/>
        <w:rPr>
          <w:sz w:val="16"/>
          <w:szCs w:val="16"/>
        </w:rPr>
      </w:pPr>
      <w:r>
        <w:rPr>
          <w:sz w:val="16"/>
          <w:szCs w:val="16"/>
        </w:rPr>
      </w:r>
    </w:p>
    <w:p>
      <w:pPr>
        <w:pStyle w:val="Normal"/>
        <w:rPr/>
      </w:pPr>
      <w:r>
        <w:rPr/>
        <w:t>Afin de s’assurer de cette acceptation et de permettre le paiement direct du(des) sous-traitants ainsi agrée(s), le prestataire remet à la personne publique une déclaration précisant la nature et le montant de la prestation, l’identité sociale et bancaire du sous-traitant, les termes du contrat de sous-traitance ainsi que les attestations relatives à la situation sociale et fiscale du sous-traitant et la non-interdiction de concourir. Pour autant, le prestataire demeure le seul interlocuteur de la Ville. Il est personnellement responsable de la bonne exécution de la prestation.</w:t>
      </w:r>
    </w:p>
    <w:p>
      <w:pPr>
        <w:pStyle w:val="Normal"/>
        <w:rPr>
          <w:sz w:val="20"/>
          <w:u w:val="single"/>
        </w:rPr>
      </w:pPr>
      <w:r>
        <w:rPr>
          <w:sz w:val="20"/>
          <w:u w:val="single"/>
        </w:rPr>
      </w:r>
    </w:p>
    <w:p>
      <w:pPr>
        <w:pStyle w:val="Normal"/>
        <w:rPr>
          <w:rStyle w:val="SubtleReference"/>
          <w:i/>
          <w:i/>
        </w:rPr>
      </w:pPr>
      <w:r>
        <w:rPr>
          <w:rStyle w:val="SubtleReference"/>
          <w:i/>
        </w:rPr>
        <w:t>1.6.5.1</w:t>
        <w:tab/>
        <w:t>Désignation des sous-traitants en cours de marché</w:t>
      </w:r>
    </w:p>
    <w:p>
      <w:pPr>
        <w:pStyle w:val="Normal"/>
        <w:jc w:val="both"/>
        <w:rPr/>
      </w:pPr>
      <w:r>
        <w:rPr/>
        <w:t>L’acceptation d’un sous-traitant et l’agrément des conditions de paiement du contrat de sous-traitance sont constatés par un acte spécial signé par la personne responsable du marché et par l’entrepreneur qui conclut le contrat de sous-traitance.</w:t>
      </w:r>
    </w:p>
    <w:p>
      <w:pPr>
        <w:pStyle w:val="Normal"/>
        <w:jc w:val="both"/>
        <w:rPr>
          <w:caps/>
          <w:sz w:val="16"/>
          <w:szCs w:val="16"/>
        </w:rPr>
      </w:pPr>
      <w:r>
        <w:rPr>
          <w:caps/>
          <w:sz w:val="16"/>
          <w:szCs w:val="16"/>
        </w:rPr>
      </w:r>
    </w:p>
    <w:p>
      <w:pPr>
        <w:pStyle w:val="Normal"/>
        <w:jc w:val="both"/>
        <w:rPr/>
      </w:pPr>
      <w:r>
        <w:rPr/>
        <w:t xml:space="preserve">Il sera exigé du sous-traitant la qualification correspondant au marché qui lui est sous-traité. </w:t>
      </w:r>
    </w:p>
    <w:p>
      <w:pPr>
        <w:pStyle w:val="Normal"/>
        <w:jc w:val="both"/>
        <w:rPr/>
      </w:pPr>
      <w:r>
        <w:rPr/>
        <w:t>Si cet entrepreneur est un cotraitant, l’avenant ou l’acte spécial est contresigné par le mandataire des entrepreneurs groupés.</w:t>
      </w:r>
    </w:p>
    <w:p>
      <w:pPr>
        <w:pStyle w:val="Normal"/>
        <w:jc w:val="both"/>
        <w:rPr/>
      </w:pPr>
      <w:r>
        <w:rPr/>
        <w:t>L’acte spécial indique :</w:t>
      </w:r>
    </w:p>
    <w:p>
      <w:pPr>
        <w:pStyle w:val="ListParagraph"/>
        <w:numPr>
          <w:ilvl w:val="0"/>
          <w:numId w:val="3"/>
        </w:numPr>
        <w:jc w:val="both"/>
        <w:rPr/>
      </w:pPr>
      <w:r>
        <w:rPr/>
        <w:t>la nature et le montant des prestations sous-traitées ;</w:t>
      </w:r>
    </w:p>
    <w:p>
      <w:pPr>
        <w:pStyle w:val="ListParagraph"/>
        <w:numPr>
          <w:ilvl w:val="0"/>
          <w:numId w:val="3"/>
        </w:numPr>
        <w:rPr/>
      </w:pPr>
      <w:r>
        <w:rPr/>
        <w:t>le nom, la raison ou la dénomination sociale et l’adresse du sous-traitant ;</w:t>
      </w:r>
    </w:p>
    <w:p>
      <w:pPr>
        <w:pStyle w:val="ListParagraph"/>
        <w:numPr>
          <w:ilvl w:val="0"/>
          <w:numId w:val="3"/>
        </w:numPr>
        <w:rPr/>
      </w:pPr>
      <w:r>
        <w:rPr/>
        <w:t>les conditions de paiement du contrat de sous-traitance, à savoir :</w:t>
      </w:r>
    </w:p>
    <w:p>
      <w:pPr>
        <w:pStyle w:val="Normal"/>
        <w:rPr/>
      </w:pPr>
      <w:r>
        <w:rPr/>
        <w:tab/>
        <w:t>- les modalités de calcul et de versement des avances des acomptes,</w:t>
      </w:r>
    </w:p>
    <w:p>
      <w:pPr>
        <w:pStyle w:val="Normal"/>
        <w:rPr/>
      </w:pPr>
      <w:r>
        <w:rPr/>
        <w:tab/>
        <w:t>- la date (ou le mois) d’établissement des prix,</w:t>
      </w:r>
    </w:p>
    <w:p>
      <w:pPr>
        <w:pStyle w:val="Normal"/>
        <w:rPr/>
      </w:pPr>
      <w:r>
        <w:rPr/>
        <w:tab/>
        <w:t>- les modalités d’actualisation des prix,</w:t>
      </w:r>
    </w:p>
    <w:p>
      <w:pPr>
        <w:pStyle w:val="Normal"/>
        <w:rPr/>
      </w:pPr>
      <w:r>
        <w:rPr/>
        <w:tab/>
        <w:t>- les stipulations relatives aux délais, pénalités, primes, réfactions et retenues diverses,</w:t>
      </w:r>
    </w:p>
    <w:p>
      <w:pPr>
        <w:pStyle w:val="Normal"/>
        <w:ind w:left="708" w:hanging="0"/>
        <w:rPr/>
      </w:pPr>
      <w:r>
        <w:rPr/>
        <w:t>- la personne habilitée à donner les renseignements prévus à l’article 108 du Code des Marchés Publics,</w:t>
      </w:r>
    </w:p>
    <w:p>
      <w:pPr>
        <w:pStyle w:val="Normal"/>
        <w:rPr/>
      </w:pPr>
      <w:r>
        <w:rPr/>
        <w:tab/>
        <w:t>- le comptable assignataire des paiements,</w:t>
      </w:r>
    </w:p>
    <w:p>
      <w:pPr>
        <w:pStyle w:val="Normal"/>
        <w:rPr/>
      </w:pPr>
      <w:r>
        <w:rPr/>
        <w:tab/>
        <w:t>- si le sous-traitant est payé directement, le compte à créditer.</w:t>
      </w:r>
    </w:p>
    <w:p>
      <w:pPr>
        <w:pStyle w:val="Normal"/>
        <w:rPr>
          <w:caps/>
          <w:sz w:val="20"/>
          <w:szCs w:val="20"/>
        </w:rPr>
      </w:pPr>
      <w:r>
        <w:rPr>
          <w:caps/>
          <w:sz w:val="20"/>
          <w:szCs w:val="20"/>
        </w:rPr>
      </w:r>
    </w:p>
    <w:p>
      <w:pPr>
        <w:pStyle w:val="Normal"/>
        <w:rPr>
          <w:rStyle w:val="SubtleReference"/>
          <w:i/>
          <w:i/>
        </w:rPr>
      </w:pPr>
      <w:r>
        <w:rPr>
          <w:rStyle w:val="SubtleReference"/>
          <w:i/>
        </w:rPr>
        <w:t>1.6.5.2</w:t>
        <w:tab/>
        <w:t xml:space="preserve"> Modalités de paiement direct</w:t>
      </w:r>
    </w:p>
    <w:p>
      <w:pPr>
        <w:pStyle w:val="Normal"/>
        <w:jc w:val="both"/>
        <w:rPr/>
      </w:pPr>
      <w:r>
        <w:rPr/>
        <w:t>La signature du projet de décompte par le mandataire vaut acceptation par celui-ci de la somme à payer éventuellement à chacun des entrepreneurs solidaires, compte tenu des modalités de répartition des paiements prévues dans le marché.</w:t>
      </w:r>
    </w:p>
    <w:p>
      <w:pPr>
        <w:pStyle w:val="Normal"/>
        <w:jc w:val="both"/>
        <w:rPr/>
      </w:pPr>
      <w:r>
        <w:rPr/>
        <w:t>La signature du projet de décompte par le mandataire vaut pour chaque cotraitant, acceptation du montant d’acompte ou de solde à lui payer directement, déterminé à partir de la partie du décompte assigné à ce cotraitant.</w:t>
      </w:r>
    </w:p>
    <w:p>
      <w:pPr>
        <w:pStyle w:val="Normal"/>
        <w:jc w:val="both"/>
        <w:rPr/>
      </w:pPr>
      <w:r>
        <w:rPr/>
      </w:r>
    </w:p>
    <w:p>
      <w:pPr>
        <w:pStyle w:val="Normal"/>
        <w:jc w:val="both"/>
        <w:rPr/>
      </w:pPr>
      <w:r>
        <w:rPr/>
        <w:t>Le titulaire joint en outre au projet de décompte, en double exemplaires, une attestation par laquelle:</w:t>
      </w:r>
    </w:p>
    <w:p>
      <w:pPr>
        <w:pStyle w:val="ListParagraph"/>
        <w:numPr>
          <w:ilvl w:val="0"/>
          <w:numId w:val="3"/>
        </w:numPr>
        <w:jc w:val="both"/>
        <w:rPr/>
      </w:pPr>
      <w:r>
        <w:rPr/>
        <w:t xml:space="preserve"> </w:t>
      </w:r>
      <w:r>
        <w:rPr/>
        <w:t>il indique le montant en prix de base de l’acompte ou du solde qui résulte de la prise en considération du  projet de décompte ;</w:t>
      </w:r>
    </w:p>
    <w:p>
      <w:pPr>
        <w:pStyle w:val="ListParagraph"/>
        <w:numPr>
          <w:ilvl w:val="0"/>
          <w:numId w:val="3"/>
        </w:numPr>
        <w:jc w:val="both"/>
        <w:rPr/>
      </w:pPr>
      <w:r>
        <w:rPr/>
        <w:t>il marque son accord pour que le montant de la somme à verser au sous-traitant soit calculé en appliquant à ce montant les stipulations du marché.</w:t>
      </w:r>
    </w:p>
    <w:p>
      <w:pPr>
        <w:pStyle w:val="Titre3"/>
        <w:numPr>
          <w:ilvl w:val="0"/>
          <w:numId w:val="0"/>
        </w:numPr>
        <w:ind w:left="6" w:firstLine="6"/>
        <w:rPr>
          <w:sz w:val="20"/>
        </w:rPr>
      </w:pPr>
      <w:r>
        <w:rPr>
          <w:sz w:val="20"/>
        </w:rPr>
      </w:r>
    </w:p>
    <w:p>
      <w:pPr>
        <w:pStyle w:val="Titre3"/>
        <w:numPr>
          <w:ilvl w:val="1"/>
          <w:numId w:val="8"/>
        </w:numPr>
        <w:ind w:left="0" w:firstLine="6"/>
        <w:rPr/>
      </w:pPr>
      <w:bookmarkStart w:id="10" w:name="_Toc4597732"/>
      <w:r>
        <w:rPr/>
        <w:t>- CONDITIONS DE LIVRAISON</w:t>
      </w:r>
      <w:bookmarkEnd w:id="10"/>
      <w:r>
        <w:rPr/>
        <w:t xml:space="preserve"> </w:t>
      </w:r>
    </w:p>
    <w:p>
      <w:pPr>
        <w:pStyle w:val="Normal"/>
        <w:rPr>
          <w:rFonts w:ascii="Cambria" w:hAnsi="Cambria" w:asciiTheme="majorHAnsi" w:hAnsiTheme="majorHAnsi"/>
          <w:i/>
          <w:i/>
          <w:color w:val="FF0000"/>
        </w:rPr>
      </w:pPr>
      <w:r>
        <w:rPr>
          <w:rFonts w:asciiTheme="majorHAnsi" w:hAnsiTheme="majorHAnsi" w:ascii="Cambria" w:hAnsi="Cambria"/>
          <w:i/>
          <w:color w:val="FF0000"/>
        </w:rPr>
      </w:r>
    </w:p>
    <w:p>
      <w:pPr>
        <w:pStyle w:val="Retraitdecorpsdetexte"/>
        <w:ind w:left="0" w:hanging="0"/>
        <w:jc w:val="both"/>
        <w:rPr/>
      </w:pPr>
      <w:r>
        <w:rPr/>
        <w:t>La livraison des articles (produits), objet du présent marché, devra respecter les conditions énoncées ci-dessous :</w:t>
      </w:r>
    </w:p>
    <w:p>
      <w:pPr>
        <w:pStyle w:val="Normal"/>
        <w:ind w:left="1065" w:hanging="0"/>
        <w:jc w:val="both"/>
        <w:rPr>
          <w:sz w:val="16"/>
          <w:szCs w:val="16"/>
        </w:rPr>
      </w:pPr>
      <w:r>
        <w:rPr>
          <w:sz w:val="16"/>
          <w:szCs w:val="16"/>
        </w:rPr>
      </w:r>
    </w:p>
    <w:p>
      <w:pPr>
        <w:pStyle w:val="Titre8"/>
        <w:rPr/>
      </w:pPr>
      <w:r>
        <w:rPr/>
        <w:t xml:space="preserve">1.7.1 - jours de livraison </w:t>
      </w:r>
    </w:p>
    <w:p>
      <w:pPr>
        <w:pStyle w:val="Normal"/>
        <w:jc w:val="both"/>
        <w:rPr/>
      </w:pPr>
      <w:r>
        <w:rPr/>
        <w:t xml:space="preserve">- Livraisons pour les structures municipales : les jours de livraison sont fixés du lundi au vendredi de 8h30 à 17h30. </w:t>
      </w:r>
    </w:p>
    <w:p>
      <w:pPr>
        <w:pStyle w:val="Normal"/>
        <w:jc w:val="both"/>
        <w:rPr/>
      </w:pPr>
      <w:r>
        <w:rPr/>
        <w:t>- Livraisons pour les écoles : les jours de livraison sont fixés les lundis, mardis, jeudis et vendredis de 9h à 11h30 le matin et de 13h30 à 16h30 l’après-midi (uniquement pendant les périodes scolaires).</w:t>
      </w:r>
    </w:p>
    <w:p>
      <w:pPr>
        <w:pStyle w:val="Normal"/>
        <w:jc w:val="both"/>
        <w:rPr>
          <w:sz w:val="16"/>
          <w:szCs w:val="16"/>
        </w:rPr>
      </w:pPr>
      <w:r>
        <w:rPr>
          <w:sz w:val="16"/>
          <w:szCs w:val="16"/>
        </w:rPr>
      </w:r>
    </w:p>
    <w:p>
      <w:pPr>
        <w:pStyle w:val="Normal"/>
        <w:jc w:val="both"/>
        <w:rPr/>
      </w:pPr>
      <w:r>
        <w:rPr/>
        <w:t>Les jours et horaires de livraison devront être signalés au moins 48h avant afin d’organiser  la réception des fournitures.</w:t>
      </w:r>
    </w:p>
    <w:p>
      <w:pPr>
        <w:pStyle w:val="Normal"/>
        <w:jc w:val="both"/>
        <w:rPr>
          <w:sz w:val="16"/>
          <w:szCs w:val="16"/>
        </w:rPr>
      </w:pPr>
      <w:r>
        <w:rPr>
          <w:sz w:val="16"/>
          <w:szCs w:val="16"/>
        </w:rPr>
      </w:r>
    </w:p>
    <w:p>
      <w:pPr>
        <w:pStyle w:val="Titre8"/>
        <w:rPr>
          <w:color w:val="FF0000"/>
        </w:rPr>
      </w:pPr>
      <w:r>
        <w:rPr/>
        <w:t>1.7.2 - lieu(x) de livraison :</w:t>
      </w:r>
      <w:r>
        <w:rPr>
          <w:color w:val="FF0000"/>
        </w:rPr>
        <w:t xml:space="preserve"> </w:t>
      </w:r>
    </w:p>
    <w:p>
      <w:pPr>
        <w:pStyle w:val="Normal"/>
        <w:rPr/>
      </w:pPr>
      <w:r>
        <w:rPr/>
        <w:t>Les lieux et adresses de livraison sont indiqués aux clauses techniques du présent C.C.P.</w:t>
      </w:r>
    </w:p>
    <w:p>
      <w:pPr>
        <w:pStyle w:val="Normal"/>
        <w:jc w:val="both"/>
        <w:rPr/>
      </w:pPr>
      <w:r>
        <w:rPr/>
      </w:r>
    </w:p>
    <w:p>
      <w:pPr>
        <w:pStyle w:val="Titre8"/>
        <w:rPr/>
      </w:pPr>
      <w:r>
        <w:rPr/>
        <w:t xml:space="preserve">1.7.3 - Le délai de livraison </w:t>
      </w:r>
    </w:p>
    <w:p>
      <w:pPr>
        <w:pStyle w:val="Titre8"/>
        <w:rPr>
          <w:b/>
          <w:b/>
          <w:i/>
          <w:i/>
        </w:rPr>
      </w:pPr>
      <w:r>
        <w:rPr/>
        <w:t>Le délai de livraison est fixé à 7 jours après réception du bon de commande. Si ce délai dépasse 30 jours, la commande sera annulée et le titulaire ne pourra prétendre à aucune indemnité.</w:t>
      </w:r>
    </w:p>
    <w:p>
      <w:pPr>
        <w:pStyle w:val="Titre8"/>
        <w:rPr/>
      </w:pPr>
      <w:r>
        <w:rPr/>
      </w:r>
    </w:p>
    <w:p>
      <w:pPr>
        <w:pStyle w:val="Titre8"/>
        <w:rPr/>
      </w:pPr>
      <w:r>
        <w:rPr/>
        <w:t xml:space="preserve">1.7.4 - fournitures livrées </w:t>
      </w:r>
    </w:p>
    <w:p>
      <w:pPr>
        <w:pStyle w:val="Normal"/>
        <w:rPr/>
      </w:pPr>
      <w:r>
        <w:rPr/>
        <w:t>Les fournitures devront être accompagnées d’un bon de livraison comportant la date d’expédition, le numéro du bon de commande relatif à cette livraison, l’identification du titulaire, la description des fournitures livrées avec leur conditionnement.</w:t>
      </w:r>
    </w:p>
    <w:p>
      <w:pPr>
        <w:pStyle w:val="Normal"/>
        <w:jc w:val="both"/>
        <w:rPr/>
      </w:pPr>
      <w:r>
        <w:rPr>
          <w:bCs/>
        </w:rPr>
        <w:t>Toute livraison égarée ou endommagée</w:t>
      </w:r>
      <w:r>
        <w:rPr/>
        <w:t xml:space="preserve"> du fait du non-respect des consignes de livraison sera à la charge du titulaire du marché et ne pourra être facturée à la collectivité.</w:t>
      </w:r>
    </w:p>
    <w:p>
      <w:pPr>
        <w:pStyle w:val="Normal"/>
        <w:jc w:val="both"/>
        <w:rPr/>
      </w:pPr>
      <w:r>
        <w:rPr/>
      </w:r>
    </w:p>
    <w:p>
      <w:pPr>
        <w:pStyle w:val="Normal"/>
        <w:jc w:val="both"/>
        <w:rPr/>
      </w:pPr>
      <w:r>
        <w:rPr/>
      </w:r>
    </w:p>
    <w:p>
      <w:pPr>
        <w:pStyle w:val="Normal"/>
        <w:jc w:val="both"/>
        <w:rPr/>
      </w:pPr>
      <w:r>
        <w:rPr/>
      </w:r>
    </w:p>
    <w:p>
      <w:pPr>
        <w:pStyle w:val="Normal"/>
        <w:jc w:val="both"/>
        <w:rPr/>
      </w:pPr>
      <w:r>
        <w:rPr/>
      </w:r>
    </w:p>
    <w:p>
      <w:pPr>
        <w:pStyle w:val="Titre3"/>
        <w:numPr>
          <w:ilvl w:val="1"/>
          <w:numId w:val="8"/>
        </w:numPr>
        <w:ind w:left="0" w:firstLine="6"/>
        <w:rPr/>
      </w:pPr>
      <w:r>
        <w:rPr/>
        <w:t xml:space="preserve"> </w:t>
      </w:r>
      <w:bookmarkStart w:id="11" w:name="_Toc4597733"/>
      <w:r>
        <w:rPr/>
        <w:t>- CONDITIONS D’EXECUTION</w:t>
      </w:r>
      <w:bookmarkEnd w:id="11"/>
      <w:r>
        <w:rPr/>
        <w:t xml:space="preserve"> </w:t>
      </w:r>
    </w:p>
    <w:p>
      <w:pPr>
        <w:pStyle w:val="Titre8"/>
        <w:rPr/>
      </w:pPr>
      <w:bookmarkStart w:id="12" w:name="_Toc441822986"/>
      <w:bookmarkEnd w:id="12"/>
      <w:r>
        <w:rPr/>
        <w:t xml:space="preserve">1.8.1- Délais d’exécution </w:t>
      </w:r>
    </w:p>
    <w:p>
      <w:pPr>
        <w:pStyle w:val="Normal"/>
        <w:jc w:val="both"/>
        <w:rPr/>
      </w:pPr>
      <w:r>
        <w:rPr/>
        <w:t>Le délai d’exécution est fixé à compter de la notification du marché.</w:t>
      </w:r>
    </w:p>
    <w:p>
      <w:pPr>
        <w:pStyle w:val="Normal"/>
        <w:jc w:val="both"/>
        <w:rPr>
          <w:sz w:val="18"/>
        </w:rPr>
      </w:pPr>
      <w:r>
        <w:rPr>
          <w:sz w:val="18"/>
        </w:rPr>
      </w:r>
    </w:p>
    <w:p>
      <w:pPr>
        <w:pStyle w:val="Titre8"/>
        <w:rPr/>
      </w:pPr>
      <w:bookmarkStart w:id="13" w:name="_Toc441822988"/>
      <w:bookmarkEnd w:id="13"/>
      <w:r>
        <w:rPr/>
        <w:t>1.8.2 -  Prolongation des délais</w:t>
      </w:r>
    </w:p>
    <w:p>
      <w:pPr>
        <w:pStyle w:val="Normal"/>
        <w:jc w:val="both"/>
        <w:rPr/>
      </w:pPr>
      <w:r>
        <w:rPr/>
        <w:t xml:space="preserve">Une prolongation du délai d’exécution peut être accordée par </w:t>
      </w:r>
      <w:r>
        <w:rPr>
          <w:sz w:val="24"/>
        </w:rPr>
        <w:t>le pouvoir adjudicateur</w:t>
      </w:r>
      <w:r>
        <w:rPr/>
        <w:t> dans les conditions de l’article 13.3 du C.C.A.G.-F.C.S.</w:t>
      </w:r>
    </w:p>
    <w:p>
      <w:pPr>
        <w:pStyle w:val="Normal"/>
        <w:rPr/>
      </w:pPr>
      <w:r>
        <w:rPr/>
      </w:r>
    </w:p>
    <w:p>
      <w:pPr>
        <w:pStyle w:val="Titre8"/>
        <w:rPr/>
      </w:pPr>
      <w:bookmarkStart w:id="14" w:name="_Toc441822989"/>
      <w:bookmarkEnd w:id="14"/>
      <w:r>
        <w:rPr/>
        <w:t>1.8.3 -  Conditions d’exécution des prestations</w:t>
      </w:r>
    </w:p>
    <w:p>
      <w:pPr>
        <w:pStyle w:val="Normal"/>
        <w:rPr/>
      </w:pPr>
      <w:r>
        <w:rPr/>
        <w:t>Les prestations devront être conformes aux stipulations du marché (les normes et spécifications techniques applicables étant celles en vigueur à la date du marché).</w:t>
      </w:r>
    </w:p>
    <w:p>
      <w:pPr>
        <w:pStyle w:val="Normal"/>
        <w:rPr>
          <w:sz w:val="14"/>
        </w:rPr>
      </w:pPr>
      <w:r>
        <w:rPr>
          <w:sz w:val="14"/>
        </w:rPr>
      </w:r>
    </w:p>
    <w:p>
      <w:pPr>
        <w:pStyle w:val="Normal"/>
        <w:rPr/>
      </w:pPr>
      <w:r>
        <w:rPr/>
        <w:t>Le marché s’exécute au moyen de bon(s) de commande ou ordre(s) de service dont le délai d’exécution est indiqué dans le(s) document(s).</w:t>
      </w:r>
    </w:p>
    <w:p>
      <w:pPr>
        <w:pStyle w:val="Normal"/>
        <w:rPr>
          <w:sz w:val="14"/>
        </w:rPr>
      </w:pPr>
      <w:r>
        <w:rPr>
          <w:sz w:val="14"/>
        </w:rPr>
      </w:r>
    </w:p>
    <w:p>
      <w:pPr>
        <w:pStyle w:val="ListParagraph"/>
        <w:numPr>
          <w:ilvl w:val="4"/>
          <w:numId w:val="2"/>
        </w:numPr>
        <w:ind w:left="426" w:hanging="360"/>
        <w:rPr>
          <w:rStyle w:val="SubtleReference"/>
        </w:rPr>
      </w:pPr>
      <w:r>
        <w:rPr>
          <w:rStyle w:val="SubtleReference"/>
        </w:rPr>
        <w:t xml:space="preserve">Stockage, emballage et transport </w:t>
      </w:r>
    </w:p>
    <w:p>
      <w:pPr>
        <w:pStyle w:val="Normal"/>
        <w:jc w:val="both"/>
        <w:rPr/>
      </w:pPr>
      <w:r>
        <w:rPr/>
        <w:t>Le stockage, l’emballage et le transport des fournitures seront effectués dans les conditions de l’article 19 du C.C.A.G.-F.C.S.</w:t>
      </w:r>
    </w:p>
    <w:p>
      <w:pPr>
        <w:pStyle w:val="Normal"/>
        <w:jc w:val="both"/>
        <w:rPr/>
      </w:pPr>
      <w:r>
        <w:rPr/>
      </w:r>
    </w:p>
    <w:p>
      <w:pPr>
        <w:pStyle w:val="Normal"/>
        <w:jc w:val="both"/>
        <w:rPr/>
      </w:pPr>
      <w:r>
        <w:rPr/>
        <w:t>Ainsi, les emballages relèvent de la responsabilité du titulaire et restent sa propriété. De même, le transport s’effectue sous sa responsabilité jusqu’au lieu de livraison.</w:t>
      </w:r>
    </w:p>
    <w:p>
      <w:pPr>
        <w:pStyle w:val="Normal"/>
        <w:rPr/>
      </w:pPr>
      <w:r>
        <w:rPr/>
      </w:r>
    </w:p>
    <w:p>
      <w:pPr>
        <w:pStyle w:val="ListParagraph"/>
        <w:numPr>
          <w:ilvl w:val="4"/>
          <w:numId w:val="2"/>
        </w:numPr>
        <w:ind w:left="426" w:hanging="360"/>
        <w:rPr>
          <w:rStyle w:val="SubtleReference"/>
        </w:rPr>
      </w:pPr>
      <w:r>
        <w:rPr>
          <w:rStyle w:val="SubtleReference"/>
        </w:rPr>
        <w:t xml:space="preserve">Décision de poursuivre </w:t>
      </w:r>
    </w:p>
    <w:p>
      <w:pPr>
        <w:pStyle w:val="Normal"/>
        <w:jc w:val="both"/>
        <w:rPr/>
      </w:pPr>
      <w:r>
        <w:rPr/>
        <w:t xml:space="preserve">La poursuite de l’exécution des prestations en cas de dépassement de la masse initiale est subordonnée à la conclusion d’un avenant ou à l’émission d’une décision de poursuivre prise par </w:t>
      </w:r>
      <w:r>
        <w:rPr>
          <w:sz w:val="24"/>
        </w:rPr>
        <w:t xml:space="preserve">le </w:t>
      </w:r>
      <w:r>
        <w:rPr>
          <w:szCs w:val="22"/>
        </w:rPr>
        <w:t>pouvoir adjudicateur.</w:t>
      </w:r>
    </w:p>
    <w:p>
      <w:pPr>
        <w:pStyle w:val="Normal"/>
        <w:rPr/>
      </w:pPr>
      <w:r>
        <w:rPr/>
      </w:r>
    </w:p>
    <w:p>
      <w:pPr>
        <w:pStyle w:val="ListParagraph"/>
        <w:numPr>
          <w:ilvl w:val="4"/>
          <w:numId w:val="2"/>
        </w:numPr>
        <w:ind w:left="426" w:hanging="360"/>
        <w:rPr>
          <w:rStyle w:val="SubtleReference"/>
        </w:rPr>
      </w:pPr>
      <w:bookmarkStart w:id="15" w:name="_Toc441822990"/>
      <w:bookmarkEnd w:id="15"/>
      <w:r>
        <w:rPr>
          <w:rStyle w:val="SubtleReference"/>
        </w:rPr>
        <w:t>Constatation de l’exécution des prestations</w:t>
      </w:r>
    </w:p>
    <w:p>
      <w:pPr>
        <w:pStyle w:val="Normal"/>
        <w:jc w:val="both"/>
        <w:rPr/>
      </w:pPr>
      <w:r>
        <w:rPr/>
        <w:t xml:space="preserve">Les vérifications quantitatives et qualitatives simples sont effectuées </w:t>
      </w:r>
      <w:r>
        <w:rPr>
          <w:sz w:val="24"/>
        </w:rPr>
        <w:t>par personne en charge de la réception</w:t>
      </w:r>
      <w:r>
        <w:rPr/>
        <w:t> au moment même de la livraison de la fourniture ou de l’exécution de service (examen sommaire) conformément aux articles 22 et 23.1 du C.C.A.G.-F.C.S.</w:t>
      </w:r>
    </w:p>
    <w:p>
      <w:pPr>
        <w:pStyle w:val="Normal"/>
        <w:jc w:val="both"/>
        <w:rPr/>
      </w:pPr>
      <w:r>
        <w:rPr/>
      </w:r>
    </w:p>
    <w:p>
      <w:pPr>
        <w:pStyle w:val="Normal"/>
        <w:jc w:val="both"/>
        <w:rPr/>
      </w:pPr>
      <w:r>
        <w:rPr/>
        <w:t xml:space="preserve">A l’issue des opérations de vérification, </w:t>
      </w:r>
      <w:r>
        <w:rPr>
          <w:sz w:val="24"/>
        </w:rPr>
        <w:t>le pouvoir adjudicateur</w:t>
      </w:r>
      <w:r>
        <w:rPr/>
        <w:t> prendra sa décision dans les conditions prévues aux articles 24 et 25 du C.C.A.G.-F.C.S.</w:t>
      </w:r>
    </w:p>
    <w:p>
      <w:pPr>
        <w:pStyle w:val="Normal"/>
        <w:rPr>
          <w:b/>
          <w:b/>
          <w:bCs/>
          <w:color w:val="0000FF"/>
        </w:rPr>
      </w:pPr>
      <w:r>
        <w:rPr>
          <w:b/>
          <w:bCs/>
          <w:color w:val="0000FF"/>
        </w:rPr>
      </w:r>
    </w:p>
    <w:p>
      <w:pPr>
        <w:pStyle w:val="ListParagraph"/>
        <w:numPr>
          <w:ilvl w:val="4"/>
          <w:numId w:val="2"/>
        </w:numPr>
        <w:shd w:val="clear" w:color="auto" w:fill="FFFFFF" w:themeFill="background1"/>
        <w:ind w:left="426" w:hanging="360"/>
        <w:rPr>
          <w:rStyle w:val="SubtleReference"/>
        </w:rPr>
      </w:pPr>
      <w:r>
        <w:rPr>
          <w:rStyle w:val="SubtleReference"/>
        </w:rPr>
        <w:t>Commandes hors BPU – hors catalogue</w:t>
      </w:r>
    </w:p>
    <w:p>
      <w:pPr>
        <w:pStyle w:val="Normal"/>
        <w:shd w:val="clear" w:color="auto" w:fill="FFFFFF" w:themeFill="background1"/>
        <w:jc w:val="both"/>
        <w:rPr>
          <w:rFonts w:ascii="Cambria" w:hAnsi="Cambria" w:asciiTheme="majorHAnsi" w:hAnsiTheme="majorHAnsi"/>
          <w:bCs/>
          <w:i/>
          <w:i/>
          <w:color w:val="FF0000"/>
        </w:rPr>
      </w:pPr>
      <w:r>
        <w:rPr>
          <w:bCs/>
        </w:rPr>
        <w:t xml:space="preserve">En cas de besoins nouveaux ou spécifiques se rapportant à une (des) fourniture(s) non référencée(s) dans le BPU et/ou dans le(s) catalogue(s), il sera demandé au titulaire d’établir un devis. Le(s) prix applicable(s) sera(seront) le(s) prix public(s), éventuellement assorti(s) de la remise proposée. </w:t>
      </w:r>
    </w:p>
    <w:p>
      <w:pPr>
        <w:pStyle w:val="Normal"/>
        <w:rPr>
          <w:b/>
          <w:b/>
          <w:bCs/>
          <w:color w:val="0000FF"/>
        </w:rPr>
      </w:pPr>
      <w:r>
        <w:rPr>
          <w:b/>
          <w:bCs/>
          <w:color w:val="0000FF"/>
        </w:rPr>
      </w:r>
    </w:p>
    <w:p>
      <w:pPr>
        <w:pStyle w:val="Titre3"/>
        <w:numPr>
          <w:ilvl w:val="1"/>
          <w:numId w:val="8"/>
        </w:numPr>
        <w:ind w:left="0" w:firstLine="6"/>
        <w:rPr/>
      </w:pPr>
      <w:bookmarkStart w:id="16" w:name="_Toc4597734"/>
      <w:bookmarkStart w:id="17" w:name="_Toc498504581"/>
      <w:r>
        <w:rPr/>
        <w:t xml:space="preserve">– </w:t>
      </w:r>
      <w:bookmarkEnd w:id="16"/>
      <w:bookmarkEnd w:id="17"/>
      <w:r>
        <w:rPr/>
        <w:t>RESILIATION DU MARCHE</w:t>
      </w:r>
    </w:p>
    <w:p>
      <w:pPr>
        <w:pStyle w:val="Normal1"/>
        <w:ind w:hanging="0"/>
        <w:rPr/>
      </w:pPr>
      <w:r>
        <w:rPr/>
        <w:t>Seules les stipulations du C.C.A.G.  relatives à la résiliation du marché, sont applicables.</w:t>
      </w:r>
    </w:p>
    <w:p>
      <w:pPr>
        <w:pStyle w:val="Normal1"/>
        <w:rPr>
          <w:sz w:val="16"/>
          <w:szCs w:val="16"/>
        </w:rPr>
      </w:pPr>
      <w:r>
        <w:rPr>
          <w:sz w:val="16"/>
          <w:szCs w:val="16"/>
        </w:rPr>
      </w:r>
    </w:p>
    <w:p>
      <w:pPr>
        <w:pStyle w:val="Normal1"/>
        <w:ind w:hanging="0"/>
        <w:rPr/>
      </w:pPr>
      <w:r>
        <w:rPr/>
        <w:t>En cas de résiliation pour motif d’intérêt général par le pouvoir adjudicateur, le titulaire percevra à titre d’indemnisation une somme forfaitaire calculée en appliquant au montant initial hors TVA, diminué du montant hors TVA non révisé des prestations admises, un pourcentage égal à 5,00 %.</w:t>
      </w:r>
    </w:p>
    <w:p>
      <w:pPr>
        <w:pStyle w:val="Normal1"/>
        <w:rPr>
          <w:sz w:val="16"/>
          <w:szCs w:val="16"/>
        </w:rPr>
      </w:pPr>
      <w:r>
        <w:rPr>
          <w:sz w:val="16"/>
          <w:szCs w:val="16"/>
        </w:rPr>
      </w:r>
    </w:p>
    <w:p>
      <w:pPr>
        <w:pStyle w:val="Normal1"/>
        <w:ind w:hanging="0"/>
        <w:rPr/>
      </w:pPr>
      <w:r>
        <w:rPr/>
        <w:t>D’autre part, en cas d'inexactitude des documents et renseignements mentionnés aux articles L. 2142-1, R. 2142-3, R. 2142-4 et R. 2143-3 du Code de la commande publique, ou de refus de produire les pièces prévues aux articles D. 8222-5 ou D. 8222-7 à 8 du Code du travail conformément à l'article R. 2143-8 du Code de la commande publique, le contrat sera résilié aux torts du titulaire.</w:t>
      </w:r>
    </w:p>
    <w:p>
      <w:pPr>
        <w:pStyle w:val="Normal1"/>
        <w:rPr>
          <w:sz w:val="16"/>
          <w:szCs w:val="16"/>
        </w:rPr>
      </w:pPr>
      <w:r>
        <w:rPr>
          <w:sz w:val="16"/>
          <w:szCs w:val="16"/>
        </w:rPr>
      </w:r>
    </w:p>
    <w:p>
      <w:pPr>
        <w:pStyle w:val="Normal"/>
        <w:rPr/>
      </w:pPr>
      <w:r>
        <w:rPr/>
        <w:t>Le pouvoir adjudicateur se réserve la possibilité de faire exécuter par un tiers les prestations aux frais et risques du titulaire.</w:t>
      </w:r>
    </w:p>
    <w:p>
      <w:pPr>
        <w:pStyle w:val="Normal"/>
        <w:rPr/>
      </w:pPr>
      <w:r>
        <w:rPr/>
      </w:r>
    </w:p>
    <w:p>
      <w:pPr>
        <w:pStyle w:val="Normal"/>
        <w:rPr/>
      </w:pPr>
      <w:r>
        <w:rPr/>
      </w:r>
    </w:p>
    <w:p>
      <w:pPr>
        <w:pStyle w:val="Normal"/>
        <w:rPr>
          <w:i/>
          <w:i/>
          <w:sz w:val="16"/>
          <w:szCs w:val="22"/>
        </w:rPr>
      </w:pPr>
      <w:r>
        <w:rPr>
          <w:i/>
          <w:sz w:val="16"/>
          <w:szCs w:val="22"/>
        </w:rPr>
      </w:r>
    </w:p>
    <w:p>
      <w:pPr>
        <w:pStyle w:val="Titre1"/>
        <w:numPr>
          <w:ilvl w:val="0"/>
          <w:numId w:val="7"/>
        </w:numPr>
        <w:rPr/>
      </w:pPr>
      <w:bookmarkStart w:id="18" w:name="_Toc4597735"/>
      <w:bookmarkEnd w:id="18"/>
      <w:r>
        <w:rPr/>
        <w:t>CLAUSES TECHNIQUES</w:t>
      </w:r>
    </w:p>
    <w:p>
      <w:pPr>
        <w:pStyle w:val="Corpsdetexte"/>
        <w:tabs>
          <w:tab w:val="left" w:pos="2000" w:leader="none"/>
        </w:tabs>
        <w:ind w:left="660" w:hanging="0"/>
        <w:rPr>
          <w:rFonts w:cs="Times New Roman"/>
          <w:bCs/>
        </w:rPr>
      </w:pPr>
      <w:r>
        <w:rPr>
          <w:rFonts w:cs="Times New Roman"/>
          <w:bCs/>
        </w:rPr>
      </w:r>
    </w:p>
    <w:p>
      <w:pPr>
        <w:pStyle w:val="Normal"/>
        <w:jc w:val="both"/>
        <w:rPr>
          <w:bCs/>
        </w:rPr>
      </w:pPr>
      <w:r>
        <w:rPr>
          <w:bCs/>
        </w:rPr>
        <w:t>Le présent marché concerne l’acquisition de jeux et de matériel pédagogique qui devront respectés les normes spécifiques et la réglementation en vigueur notamment en matière de sécurité et de qualité (matériaux inflammables interdits dans la fabrication, symboles graphiques destinés à informer les adultes,</w:t>
      </w:r>
      <w:r>
        <w:rPr/>
        <w:t xml:space="preserve">…). </w:t>
      </w:r>
    </w:p>
    <w:p>
      <w:pPr>
        <w:pStyle w:val="Normal"/>
        <w:jc w:val="both"/>
        <w:rPr>
          <w:bCs/>
        </w:rPr>
      </w:pPr>
      <w:r>
        <w:rPr>
          <w:bCs/>
        </w:rPr>
        <w:t>Le titulaire est donc tenu de vérifier que le produit est conforme aux normes et à la réglementation en vigueur en veillant notamment à ce que celui-ci soit solide, non toxique et stable.</w:t>
      </w:r>
    </w:p>
    <w:p>
      <w:pPr>
        <w:pStyle w:val="Normal"/>
        <w:jc w:val="both"/>
        <w:rPr>
          <w:b/>
          <w:b/>
          <w:bCs/>
          <w:u w:val="single"/>
        </w:rPr>
      </w:pPr>
      <w:r>
        <w:rPr>
          <w:b/>
          <w:bCs/>
          <w:u w:val="single"/>
        </w:rPr>
      </w:r>
    </w:p>
    <w:p>
      <w:pPr>
        <w:pStyle w:val="Normal"/>
        <w:jc w:val="both"/>
        <w:rPr>
          <w:b/>
          <w:b/>
          <w:bCs/>
          <w:sz w:val="24"/>
          <w:u w:val="single"/>
        </w:rPr>
      </w:pPr>
      <w:r>
        <w:rPr>
          <w:b/>
          <w:bCs/>
          <w:sz w:val="28"/>
          <w:szCs w:val="28"/>
          <w:u w:val="single"/>
        </w:rPr>
        <w:t>Jeux et matériel pour le public de la petite enfance</w:t>
      </w:r>
      <w:r>
        <w:rPr>
          <w:b/>
          <w:bCs/>
          <w:sz w:val="24"/>
        </w:rPr>
        <w:t> </w:t>
      </w:r>
      <w:r>
        <w:rPr>
          <w:bCs/>
          <w:sz w:val="24"/>
        </w:rPr>
        <w:t>(liste non exhaustive):</w:t>
      </w:r>
    </w:p>
    <w:p>
      <w:pPr>
        <w:pStyle w:val="Normal"/>
        <w:jc w:val="both"/>
        <w:rPr>
          <w:bCs/>
        </w:rPr>
      </w:pPr>
      <w:r>
        <w:rPr>
          <w:bCs/>
        </w:rPr>
        <w:t xml:space="preserve">Ils sont destinés à des enfants de </w:t>
      </w:r>
      <w:r>
        <w:rPr>
          <w:b/>
          <w:bCs/>
        </w:rPr>
        <w:t>3 mois à 3 ans</w:t>
      </w:r>
      <w:r>
        <w:rPr>
          <w:bCs/>
        </w:rPr>
        <w:t>.</w:t>
      </w:r>
    </w:p>
    <w:p>
      <w:pPr>
        <w:pStyle w:val="Normal"/>
        <w:jc w:val="both"/>
        <w:rPr>
          <w:bCs/>
          <w:sz w:val="16"/>
          <w:szCs w:val="16"/>
        </w:rPr>
      </w:pPr>
      <w:r>
        <w:rPr>
          <w:bCs/>
          <w:sz w:val="16"/>
          <w:szCs w:val="16"/>
        </w:rPr>
      </w:r>
    </w:p>
    <w:p>
      <w:pPr>
        <w:pStyle w:val="Normal"/>
        <w:jc w:val="both"/>
        <w:rPr/>
      </w:pPr>
      <w:r>
        <w:rPr>
          <w:b/>
          <w:bCs/>
          <w:u w:val="single"/>
        </w:rPr>
        <w:t>Jeux </w:t>
      </w:r>
      <w:r>
        <w:rPr>
          <w:b/>
          <w:bCs/>
        </w:rPr>
        <w:t>:</w:t>
      </w:r>
      <w:r>
        <w:rPr/>
        <w:t xml:space="preserve"> éducatifs, de construction, d’activité, d’observation, de langage, puzzles, etc… </w:t>
      </w:r>
    </w:p>
    <w:p>
      <w:pPr>
        <w:pStyle w:val="Normal"/>
        <w:jc w:val="both"/>
        <w:rPr>
          <w:sz w:val="16"/>
          <w:szCs w:val="16"/>
        </w:rPr>
      </w:pPr>
      <w:r>
        <w:rPr>
          <w:sz w:val="16"/>
          <w:szCs w:val="16"/>
        </w:rPr>
      </w:r>
    </w:p>
    <w:p>
      <w:pPr>
        <w:pStyle w:val="Normal"/>
        <w:jc w:val="both"/>
        <w:rPr/>
      </w:pPr>
      <w:r>
        <w:rPr>
          <w:b/>
          <w:bCs/>
          <w:u w:val="single"/>
        </w:rPr>
        <w:t>Jouets </w:t>
      </w:r>
      <w:r>
        <w:rPr>
          <w:b/>
          <w:bCs/>
        </w:rPr>
        <w:t>:</w:t>
      </w:r>
      <w:r>
        <w:rPr/>
        <w:t xml:space="preserve"> Légos, poupée + accessoires, dînettes, camions, voitures, fermes + animaux, tapis de jeux, garage, seaux, pelles, marionnettes etc… </w:t>
      </w:r>
    </w:p>
    <w:p>
      <w:pPr>
        <w:pStyle w:val="Normal"/>
        <w:jc w:val="both"/>
        <w:rPr>
          <w:sz w:val="16"/>
          <w:szCs w:val="16"/>
        </w:rPr>
      </w:pPr>
      <w:r>
        <w:rPr>
          <w:sz w:val="16"/>
          <w:szCs w:val="16"/>
        </w:rPr>
      </w:r>
    </w:p>
    <w:p>
      <w:pPr>
        <w:pStyle w:val="Normal"/>
        <w:jc w:val="both"/>
        <w:rPr>
          <w:bCs/>
        </w:rPr>
      </w:pPr>
      <w:r>
        <w:rPr>
          <w:b/>
          <w:bCs/>
          <w:u w:val="single"/>
        </w:rPr>
        <w:t>Jouets </w:t>
      </w:r>
      <w:r>
        <w:rPr>
          <w:bCs/>
        </w:rPr>
        <w:t>: en tissus, hochets, déguisements, etc …</w:t>
      </w:r>
    </w:p>
    <w:p>
      <w:pPr>
        <w:pStyle w:val="Normal"/>
        <w:jc w:val="both"/>
        <w:rPr>
          <w:b/>
          <w:b/>
          <w:bCs/>
          <w:sz w:val="16"/>
          <w:szCs w:val="16"/>
          <w:u w:val="single"/>
        </w:rPr>
      </w:pPr>
      <w:r>
        <w:rPr>
          <w:b/>
          <w:bCs/>
          <w:sz w:val="16"/>
          <w:szCs w:val="16"/>
          <w:u w:val="single"/>
        </w:rPr>
      </w:r>
    </w:p>
    <w:p>
      <w:pPr>
        <w:pStyle w:val="Normal"/>
        <w:jc w:val="both"/>
        <w:rPr/>
      </w:pPr>
      <w:r>
        <w:rPr>
          <w:b/>
          <w:bCs/>
          <w:u w:val="single"/>
        </w:rPr>
        <w:t>Matériel de motricité</w:t>
      </w:r>
      <w:r>
        <w:rPr/>
        <w:t> : structures motricité mousse, éléments individuels mousse, jeux d’équilibre et d’adresse, etc…</w:t>
      </w:r>
    </w:p>
    <w:p>
      <w:pPr>
        <w:pStyle w:val="Titre1"/>
        <w:jc w:val="both"/>
        <w:rPr>
          <w:b w:val="false"/>
          <w:b w:val="false"/>
          <w:bCs w:val="false"/>
          <w:sz w:val="16"/>
          <w:szCs w:val="16"/>
        </w:rPr>
      </w:pPr>
      <w:r>
        <w:rPr>
          <w:b w:val="false"/>
          <w:bCs w:val="false"/>
          <w:sz w:val="16"/>
          <w:szCs w:val="16"/>
        </w:rPr>
      </w:r>
    </w:p>
    <w:p>
      <w:pPr>
        <w:pStyle w:val="Titre1"/>
        <w:jc w:val="both"/>
        <w:rPr>
          <w:b w:val="false"/>
          <w:b w:val="false"/>
          <w:sz w:val="22"/>
          <w:szCs w:val="22"/>
        </w:rPr>
      </w:pPr>
      <w:r>
        <w:rPr>
          <w:bCs w:val="false"/>
          <w:sz w:val="22"/>
          <w:szCs w:val="22"/>
        </w:rPr>
        <w:t>Instruments de musique</w:t>
      </w:r>
      <w:r>
        <w:rPr>
          <w:b w:val="false"/>
          <w:bCs w:val="false"/>
          <w:sz w:val="22"/>
          <w:szCs w:val="22"/>
        </w:rPr>
        <w:t> </w:t>
      </w:r>
      <w:r>
        <w:rPr>
          <w:b w:val="false"/>
          <w:bCs w:val="false"/>
          <w:sz w:val="22"/>
          <w:szCs w:val="22"/>
          <w:u w:val="none"/>
        </w:rPr>
        <w:t>:</w:t>
      </w:r>
      <w:r>
        <w:rPr>
          <w:sz w:val="22"/>
          <w:szCs w:val="22"/>
          <w:u w:val="none"/>
        </w:rPr>
        <w:t xml:space="preserve"> </w:t>
      </w:r>
      <w:r>
        <w:rPr>
          <w:b w:val="false"/>
          <w:sz w:val="22"/>
          <w:szCs w:val="22"/>
          <w:u w:val="none"/>
        </w:rPr>
        <w:t>grelots, maracas, triangles, tambourins, etc…</w:t>
      </w:r>
    </w:p>
    <w:p>
      <w:pPr>
        <w:pStyle w:val="Normal"/>
        <w:jc w:val="both"/>
        <w:rPr>
          <w:sz w:val="16"/>
          <w:szCs w:val="16"/>
        </w:rPr>
      </w:pPr>
      <w:r>
        <w:rPr>
          <w:sz w:val="16"/>
          <w:szCs w:val="16"/>
        </w:rPr>
      </w:r>
    </w:p>
    <w:p>
      <w:pPr>
        <w:pStyle w:val="Normal"/>
        <w:jc w:val="both"/>
        <w:rPr/>
      </w:pPr>
      <w:r>
        <w:rPr>
          <w:b/>
          <w:bCs/>
          <w:u w:val="single"/>
        </w:rPr>
        <w:t>Matériel de sport</w:t>
      </w:r>
      <w:r>
        <w:rPr>
          <w:b/>
          <w:bCs/>
        </w:rPr>
        <w:t> :</w:t>
      </w:r>
      <w:r>
        <w:rPr/>
        <w:t xml:space="preserve"> balles, ballons, porteurs, tricycles, etc…</w:t>
      </w:r>
    </w:p>
    <w:p>
      <w:pPr>
        <w:pStyle w:val="Normal"/>
        <w:jc w:val="both"/>
        <w:rPr>
          <w:b/>
          <w:b/>
          <w:bCs/>
          <w:u w:val="single"/>
        </w:rPr>
      </w:pPr>
      <w:r>
        <w:rPr>
          <w:b/>
          <w:bCs/>
          <w:u w:val="single"/>
        </w:rPr>
      </w:r>
    </w:p>
    <w:p>
      <w:pPr>
        <w:pStyle w:val="Normal"/>
        <w:jc w:val="both"/>
        <w:rPr>
          <w:b/>
          <w:b/>
          <w:bCs/>
          <w:sz w:val="28"/>
          <w:szCs w:val="28"/>
          <w:u w:val="single"/>
        </w:rPr>
      </w:pPr>
      <w:r>
        <w:rPr>
          <w:b/>
          <w:bCs/>
          <w:sz w:val="28"/>
          <w:szCs w:val="28"/>
          <w:u w:val="single"/>
        </w:rPr>
        <w:t>Jeux et matériel pour les écoles et les accueils périscolaires:</w:t>
      </w:r>
    </w:p>
    <w:p>
      <w:pPr>
        <w:pStyle w:val="Normal"/>
        <w:jc w:val="both"/>
        <w:rPr>
          <w:bCs/>
        </w:rPr>
      </w:pPr>
      <w:r>
        <w:rPr>
          <w:bCs/>
        </w:rPr>
        <w:t xml:space="preserve">Ils sont destinés à des enfants de </w:t>
      </w:r>
      <w:r>
        <w:rPr>
          <w:b/>
          <w:bCs/>
        </w:rPr>
        <w:t>3 à 12 ans</w:t>
      </w:r>
      <w:r>
        <w:rPr>
          <w:bCs/>
        </w:rPr>
        <w:t>.</w:t>
      </w:r>
    </w:p>
    <w:p>
      <w:pPr>
        <w:pStyle w:val="Normal"/>
        <w:rPr>
          <w:b/>
          <w:b/>
          <w:bCs/>
          <w:sz w:val="16"/>
          <w:szCs w:val="16"/>
        </w:rPr>
      </w:pPr>
      <w:r>
        <w:rPr>
          <w:b/>
          <w:bCs/>
          <w:sz w:val="16"/>
          <w:szCs w:val="16"/>
        </w:rPr>
      </w:r>
    </w:p>
    <w:p>
      <w:pPr>
        <w:pStyle w:val="Normal"/>
        <w:jc w:val="both"/>
        <w:rPr/>
      </w:pPr>
      <w:r>
        <w:rPr>
          <w:b/>
          <w:bCs/>
          <w:u w:val="single"/>
        </w:rPr>
        <w:t>Jeux </w:t>
      </w:r>
      <w:r>
        <w:rPr>
          <w:b/>
          <w:bCs/>
        </w:rPr>
        <w:t>:</w:t>
      </w:r>
      <w:r>
        <w:rPr/>
        <w:t xml:space="preserve"> éducatifs, de construction, d’activité, d’observation, de langage, de société, loto, domino, puzzles, etc… </w:t>
      </w:r>
    </w:p>
    <w:p>
      <w:pPr>
        <w:pStyle w:val="Normal"/>
        <w:jc w:val="both"/>
        <w:rPr>
          <w:sz w:val="16"/>
          <w:szCs w:val="16"/>
        </w:rPr>
      </w:pPr>
      <w:r>
        <w:rPr>
          <w:sz w:val="16"/>
          <w:szCs w:val="16"/>
        </w:rPr>
      </w:r>
    </w:p>
    <w:p>
      <w:pPr>
        <w:pStyle w:val="Normal"/>
        <w:jc w:val="both"/>
        <w:rPr/>
      </w:pPr>
      <w:r>
        <w:rPr>
          <w:b/>
          <w:bCs/>
          <w:u w:val="single"/>
        </w:rPr>
        <w:t>Jouets </w:t>
      </w:r>
      <w:r>
        <w:rPr>
          <w:b/>
          <w:bCs/>
        </w:rPr>
        <w:t>:</w:t>
      </w:r>
      <w:r>
        <w:rPr/>
        <w:t xml:space="preserve"> Lego, poupées + accessoires, dînettes, camions, voitures, fermes + animaux, tapis de jeux, garages, seaux, pelles, marionnettes, etc… </w:t>
      </w:r>
    </w:p>
    <w:p>
      <w:pPr>
        <w:pStyle w:val="Normal"/>
        <w:jc w:val="both"/>
        <w:rPr>
          <w:sz w:val="16"/>
          <w:szCs w:val="16"/>
        </w:rPr>
      </w:pPr>
      <w:r>
        <w:rPr>
          <w:sz w:val="16"/>
          <w:szCs w:val="16"/>
        </w:rPr>
      </w:r>
    </w:p>
    <w:p>
      <w:pPr>
        <w:pStyle w:val="Normal"/>
        <w:jc w:val="both"/>
        <w:rPr/>
      </w:pPr>
      <w:r>
        <w:rPr>
          <w:b/>
          <w:bCs/>
          <w:u w:val="single"/>
        </w:rPr>
        <w:t>Matériel de motricité</w:t>
      </w:r>
      <w:r>
        <w:rPr/>
        <w:t> : Jeux d’équilibre et d’adresse, jeux d’eau et de sable, jardinage, etc…</w:t>
      </w:r>
    </w:p>
    <w:p>
      <w:pPr>
        <w:pStyle w:val="Normal"/>
        <w:jc w:val="both"/>
        <w:rPr>
          <w:sz w:val="16"/>
          <w:szCs w:val="16"/>
        </w:rPr>
      </w:pPr>
      <w:r>
        <w:rPr>
          <w:sz w:val="16"/>
          <w:szCs w:val="16"/>
        </w:rPr>
      </w:r>
    </w:p>
    <w:p>
      <w:pPr>
        <w:pStyle w:val="Titre1"/>
        <w:jc w:val="both"/>
        <w:rPr>
          <w:sz w:val="22"/>
          <w:szCs w:val="22"/>
        </w:rPr>
      </w:pPr>
      <w:r>
        <w:rPr>
          <w:bCs w:val="false"/>
          <w:sz w:val="22"/>
          <w:szCs w:val="22"/>
        </w:rPr>
        <w:t>Instruments de musique</w:t>
      </w:r>
      <w:r>
        <w:rPr>
          <w:b w:val="false"/>
          <w:bCs w:val="false"/>
          <w:sz w:val="22"/>
          <w:szCs w:val="22"/>
        </w:rPr>
        <w:t> </w:t>
      </w:r>
      <w:r>
        <w:rPr>
          <w:b w:val="false"/>
          <w:bCs w:val="false"/>
          <w:sz w:val="22"/>
          <w:szCs w:val="22"/>
          <w:u w:val="none"/>
        </w:rPr>
        <w:t>:</w:t>
      </w:r>
      <w:r>
        <w:rPr>
          <w:sz w:val="22"/>
          <w:szCs w:val="22"/>
          <w:u w:val="none"/>
        </w:rPr>
        <w:t xml:space="preserve"> </w:t>
      </w:r>
      <w:r>
        <w:rPr>
          <w:b w:val="false"/>
          <w:sz w:val="22"/>
          <w:szCs w:val="22"/>
          <w:u w:val="none"/>
        </w:rPr>
        <w:t>grelots, maracas, triangles, tambourins, etc…</w:t>
      </w:r>
    </w:p>
    <w:p>
      <w:pPr>
        <w:pStyle w:val="Normal"/>
        <w:jc w:val="both"/>
        <w:rPr>
          <w:sz w:val="16"/>
          <w:szCs w:val="16"/>
        </w:rPr>
      </w:pPr>
      <w:r>
        <w:rPr>
          <w:sz w:val="16"/>
          <w:szCs w:val="16"/>
        </w:rPr>
      </w:r>
    </w:p>
    <w:p>
      <w:pPr>
        <w:pStyle w:val="Normal"/>
        <w:jc w:val="both"/>
        <w:rPr/>
      </w:pPr>
      <w:r>
        <w:rPr>
          <w:b/>
          <w:bCs/>
          <w:u w:val="single"/>
        </w:rPr>
        <w:t>Matériel de sport</w:t>
      </w:r>
      <w:r>
        <w:rPr>
          <w:b/>
          <w:bCs/>
        </w:rPr>
        <w:t> :</w:t>
      </w:r>
      <w:r>
        <w:rPr/>
        <w:t xml:space="preserve"> balles, ballons, raquettes, rollers + accessoires, cordes à sauter etc…</w:t>
      </w:r>
    </w:p>
    <w:p>
      <w:pPr>
        <w:pStyle w:val="Normal"/>
        <w:jc w:val="both"/>
        <w:rPr>
          <w:sz w:val="16"/>
          <w:szCs w:val="16"/>
        </w:rPr>
      </w:pPr>
      <w:r>
        <w:rPr>
          <w:sz w:val="16"/>
          <w:szCs w:val="16"/>
        </w:rPr>
      </w:r>
    </w:p>
    <w:p>
      <w:pPr>
        <w:pStyle w:val="Normal"/>
        <w:jc w:val="both"/>
        <w:rPr/>
      </w:pPr>
      <w:r>
        <w:rPr>
          <w:b/>
          <w:bCs/>
          <w:u w:val="single"/>
        </w:rPr>
        <w:t>Matériel scientifique</w:t>
      </w:r>
      <w:r>
        <w:rPr>
          <w:b/>
          <w:bCs/>
        </w:rPr>
        <w:t> :</w:t>
      </w:r>
      <w:r>
        <w:rPr/>
        <w:t xml:space="preserve"> loupe, microscope, éprouvette, etc… </w:t>
      </w:r>
    </w:p>
    <w:p>
      <w:pPr>
        <w:pStyle w:val="Normal"/>
        <w:rPr/>
      </w:pPr>
      <w:r>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
          <w:b/>
          <w:bCs/>
          <w:sz w:val="28"/>
          <w:u w:val="single"/>
        </w:rPr>
      </w:pPr>
      <w:r>
        <w:rPr>
          <w:b/>
          <w:bCs/>
          <w:sz w:val="28"/>
          <w:u w:val="single"/>
        </w:rPr>
      </w:r>
    </w:p>
    <w:p>
      <w:pPr>
        <w:pStyle w:val="Normal"/>
        <w:rPr>
          <w:b/>
          <w:b/>
          <w:bCs/>
          <w:sz w:val="28"/>
          <w:u w:val="single"/>
        </w:rPr>
      </w:pPr>
      <w:r>
        <w:rPr>
          <w:b/>
          <w:bCs/>
          <w:sz w:val="28"/>
          <w:u w:val="single"/>
        </w:rPr>
      </w:r>
    </w:p>
    <w:p>
      <w:pPr>
        <w:pStyle w:val="Normal"/>
        <w:rPr>
          <w:b/>
          <w:b/>
          <w:bCs/>
          <w:sz w:val="28"/>
          <w:u w:val="single"/>
        </w:rPr>
      </w:pPr>
      <w:r>
        <w:rPr>
          <w:b/>
          <w:bCs/>
          <w:sz w:val="28"/>
          <w:u w:val="single"/>
        </w:rPr>
      </w:r>
    </w:p>
    <w:p>
      <w:pPr>
        <w:pStyle w:val="Normal"/>
        <w:rPr>
          <w:b/>
          <w:b/>
          <w:bCs/>
          <w:sz w:val="28"/>
          <w:u w:val="single"/>
        </w:rPr>
      </w:pPr>
      <w:r>
        <w:rPr>
          <w:b/>
          <w:bCs/>
          <w:sz w:val="28"/>
          <w:u w:val="single"/>
        </w:rPr>
        <w:t>Lieux et adresses de livraison :</w:t>
      </w:r>
    </w:p>
    <w:p>
      <w:pPr>
        <w:pStyle w:val="Normal"/>
        <w:rPr>
          <w:bCs/>
        </w:rPr>
      </w:pPr>
      <w:r>
        <w:rPr>
          <w:bCs/>
        </w:rPr>
      </w:r>
    </w:p>
    <w:tbl>
      <w:tblPr>
        <w:tblStyle w:val="Grilledutableau"/>
        <w:tblW w:w="9150" w:type="dxa"/>
        <w:jc w:val="left"/>
        <w:tblInd w:w="108" w:type="dxa"/>
        <w:tblCellMar>
          <w:top w:w="0" w:type="dxa"/>
          <w:left w:w="108" w:type="dxa"/>
          <w:bottom w:w="0" w:type="dxa"/>
          <w:right w:w="108" w:type="dxa"/>
        </w:tblCellMar>
        <w:tblLook w:val="04a0"/>
      </w:tblPr>
      <w:tblGrid>
        <w:gridCol w:w="4575"/>
        <w:gridCol w:w="4574"/>
      </w:tblGrid>
      <w:tr>
        <w:trPr>
          <w:trHeight w:val="258" w:hRule="atLeast"/>
        </w:trPr>
        <w:tc>
          <w:tcPr>
            <w:tcW w:w="4575" w:type="dxa"/>
            <w:tcBorders/>
            <w:shd w:fill="auto" w:val="clear"/>
            <w:tcMar>
              <w:left w:w="108" w:type="dxa"/>
            </w:tcMar>
          </w:tcPr>
          <w:p>
            <w:pPr>
              <w:pStyle w:val="Normal"/>
              <w:jc w:val="center"/>
              <w:rPr>
                <w:rFonts w:ascii="Cambria" w:hAnsi="Cambria" w:asciiTheme="majorHAnsi" w:hAnsiTheme="majorHAnsi"/>
                <w:b/>
                <w:b/>
                <w:i/>
                <w:i/>
              </w:rPr>
            </w:pPr>
            <w:r>
              <w:rPr>
                <w:rFonts w:ascii="Cambria" w:hAnsi="Cambria" w:asciiTheme="majorHAnsi" w:hAnsiTheme="majorHAnsi"/>
                <w:b/>
                <w:i/>
              </w:rPr>
              <w:t>LIEUX</w:t>
            </w:r>
          </w:p>
        </w:tc>
        <w:tc>
          <w:tcPr>
            <w:tcW w:w="4574" w:type="dxa"/>
            <w:tcBorders/>
            <w:shd w:fill="auto" w:val="clear"/>
            <w:tcMar>
              <w:left w:w="108" w:type="dxa"/>
            </w:tcMar>
          </w:tcPr>
          <w:p>
            <w:pPr>
              <w:pStyle w:val="Normal"/>
              <w:jc w:val="center"/>
              <w:rPr>
                <w:rFonts w:ascii="Cambria" w:hAnsi="Cambria" w:asciiTheme="majorHAnsi" w:hAnsiTheme="majorHAnsi"/>
                <w:b/>
                <w:b/>
                <w:i/>
                <w:i/>
              </w:rPr>
            </w:pPr>
            <w:r>
              <w:rPr>
                <w:rFonts w:ascii="Cambria" w:hAnsi="Cambria" w:asciiTheme="majorHAnsi" w:hAnsiTheme="majorHAnsi"/>
                <w:b/>
                <w:i/>
              </w:rPr>
              <w:t>ADRESSES</w:t>
            </w:r>
          </w:p>
        </w:tc>
      </w:tr>
      <w:tr>
        <w:trPr>
          <w:trHeight w:val="258" w:hRule="atLeast"/>
        </w:trPr>
        <w:tc>
          <w:tcPr>
            <w:tcW w:w="4575" w:type="dxa"/>
            <w:tcBorders/>
            <w:shd w:fill="auto" w:val="clear"/>
            <w:tcMar>
              <w:left w:w="108" w:type="dxa"/>
            </w:tcMar>
          </w:tcPr>
          <w:p>
            <w:pPr>
              <w:pStyle w:val="Normal"/>
              <w:jc w:val="both"/>
              <w:rPr>
                <w:rFonts w:cs="Calibri" w:cstheme="minorHAnsi"/>
              </w:rPr>
            </w:pPr>
            <w:r>
              <w:rPr>
                <w:rFonts w:cs="Calibri" w:cstheme="minorHAnsi"/>
              </w:rPr>
              <w:t>MAIRIE</w:t>
            </w:r>
          </w:p>
        </w:tc>
        <w:tc>
          <w:tcPr>
            <w:tcW w:w="4574" w:type="dxa"/>
            <w:tcBorders/>
            <w:shd w:fill="auto" w:val="clear"/>
            <w:tcMar>
              <w:left w:w="108" w:type="dxa"/>
            </w:tcMar>
          </w:tcPr>
          <w:p>
            <w:pPr>
              <w:pStyle w:val="Normal"/>
              <w:jc w:val="both"/>
              <w:rPr>
                <w:rFonts w:cs="Calibri" w:cstheme="minorHAnsi"/>
              </w:rPr>
            </w:pPr>
            <w:r>
              <w:rPr>
                <w:rFonts w:cs="Calibri" w:cstheme="minorHAnsi"/>
              </w:rPr>
              <w:t>Mail Jean-Ferrat</w:t>
            </w:r>
          </w:p>
        </w:tc>
      </w:tr>
      <w:tr>
        <w:trPr>
          <w:trHeight w:val="243" w:hRule="atLeast"/>
        </w:trPr>
        <w:tc>
          <w:tcPr>
            <w:tcW w:w="4575" w:type="dxa"/>
            <w:tcBorders/>
            <w:shd w:fill="auto" w:val="clear"/>
            <w:tcMar>
              <w:left w:w="108" w:type="dxa"/>
            </w:tcMar>
          </w:tcPr>
          <w:p>
            <w:pPr>
              <w:pStyle w:val="Normal"/>
              <w:jc w:val="both"/>
              <w:rPr>
                <w:rFonts w:cs="Calibri" w:cstheme="minorHAnsi"/>
              </w:rPr>
            </w:pPr>
            <w:r>
              <w:rPr>
                <w:rFonts w:cs="Calibri" w:cstheme="minorHAnsi"/>
              </w:rPr>
              <w:t>GROUPE SCOLAIRE DES 2 PARCS</w:t>
            </w:r>
          </w:p>
        </w:tc>
        <w:tc>
          <w:tcPr>
            <w:tcW w:w="4574" w:type="dxa"/>
            <w:tcBorders/>
            <w:shd w:fill="auto" w:val="clear"/>
            <w:tcMar>
              <w:left w:w="108" w:type="dxa"/>
            </w:tcMar>
          </w:tcPr>
          <w:p>
            <w:pPr>
              <w:pStyle w:val="Normal"/>
              <w:jc w:val="both"/>
              <w:rPr>
                <w:rFonts w:cs="Calibri" w:cstheme="minorHAnsi"/>
              </w:rPr>
            </w:pPr>
            <w:r>
              <w:rPr>
                <w:rFonts w:cs="Calibri" w:cstheme="minorHAnsi"/>
              </w:rPr>
              <w:t>Cours des Deux Parcs</w:t>
            </w:r>
          </w:p>
        </w:tc>
      </w:tr>
      <w:tr>
        <w:trPr>
          <w:trHeight w:val="258" w:hRule="atLeast"/>
        </w:trPr>
        <w:tc>
          <w:tcPr>
            <w:tcW w:w="4575" w:type="dxa"/>
            <w:tcBorders/>
            <w:shd w:fill="auto" w:val="clear"/>
            <w:tcMar>
              <w:left w:w="108" w:type="dxa"/>
            </w:tcMar>
          </w:tcPr>
          <w:p>
            <w:pPr>
              <w:pStyle w:val="Normal"/>
              <w:jc w:val="both"/>
              <w:rPr>
                <w:rFonts w:cs="Calibri" w:cstheme="minorHAnsi"/>
              </w:rPr>
            </w:pPr>
            <w:r>
              <w:rPr>
                <w:rFonts w:cs="Calibri" w:cstheme="minorHAnsi"/>
              </w:rPr>
              <w:t>GROUPE SCOLAIRE DU NESLES</w:t>
            </w:r>
          </w:p>
        </w:tc>
        <w:tc>
          <w:tcPr>
            <w:tcW w:w="4574" w:type="dxa"/>
            <w:tcBorders/>
            <w:shd w:fill="auto" w:val="clear"/>
            <w:tcMar>
              <w:left w:w="108" w:type="dxa"/>
            </w:tcMar>
          </w:tcPr>
          <w:p>
            <w:pPr>
              <w:pStyle w:val="Normal"/>
              <w:jc w:val="both"/>
              <w:rPr>
                <w:rFonts w:cs="Calibri" w:cstheme="minorHAnsi"/>
              </w:rPr>
            </w:pPr>
            <w:r>
              <w:rPr>
                <w:rFonts w:cs="Calibri" w:cstheme="minorHAnsi"/>
              </w:rPr>
              <w:t>Boulevard du Nesles</w:t>
            </w:r>
          </w:p>
        </w:tc>
      </w:tr>
      <w:tr>
        <w:trPr>
          <w:trHeight w:val="258" w:hRule="atLeast"/>
        </w:trPr>
        <w:tc>
          <w:tcPr>
            <w:tcW w:w="4575" w:type="dxa"/>
            <w:tcBorders/>
            <w:shd w:fill="auto" w:val="clear"/>
            <w:tcMar>
              <w:left w:w="108" w:type="dxa"/>
            </w:tcMar>
          </w:tcPr>
          <w:p>
            <w:pPr>
              <w:pStyle w:val="Normal"/>
              <w:jc w:val="both"/>
              <w:rPr>
                <w:rFonts w:cs="Calibri" w:cstheme="minorHAnsi"/>
              </w:rPr>
            </w:pPr>
            <w:r>
              <w:rPr>
                <w:rFonts w:cs="Calibri" w:cstheme="minorHAnsi"/>
              </w:rPr>
              <w:t>GROUPE SCOLAIRE DU LUZARD</w:t>
            </w:r>
          </w:p>
        </w:tc>
        <w:tc>
          <w:tcPr>
            <w:tcW w:w="4574" w:type="dxa"/>
            <w:tcBorders/>
            <w:shd w:fill="auto" w:val="clear"/>
            <w:tcMar>
              <w:left w:w="108" w:type="dxa"/>
            </w:tcMar>
          </w:tcPr>
          <w:p>
            <w:pPr>
              <w:pStyle w:val="Normal"/>
              <w:jc w:val="both"/>
              <w:rPr>
                <w:rFonts w:cs="Calibri" w:cstheme="minorHAnsi"/>
              </w:rPr>
            </w:pPr>
            <w:r>
              <w:rPr>
                <w:rFonts w:cs="Calibri" w:cstheme="minorHAnsi"/>
              </w:rPr>
              <w:t>Allée Eugène Pottier</w:t>
            </w:r>
          </w:p>
        </w:tc>
      </w:tr>
      <w:tr>
        <w:trPr>
          <w:trHeight w:val="258" w:hRule="atLeast"/>
        </w:trPr>
        <w:tc>
          <w:tcPr>
            <w:tcW w:w="4575" w:type="dxa"/>
            <w:tcBorders/>
            <w:shd w:fill="auto" w:val="clear"/>
            <w:tcMar>
              <w:left w:w="108" w:type="dxa"/>
            </w:tcMar>
          </w:tcPr>
          <w:p>
            <w:pPr>
              <w:pStyle w:val="Normal"/>
              <w:jc w:val="both"/>
              <w:rPr>
                <w:rFonts w:cs="Calibri" w:cstheme="minorHAnsi"/>
              </w:rPr>
            </w:pPr>
            <w:r>
              <w:rPr>
                <w:rFonts w:cs="Calibri" w:cstheme="minorHAnsi"/>
              </w:rPr>
              <w:t>GROUPE SCOLAIRE PICASSO</w:t>
            </w:r>
          </w:p>
        </w:tc>
        <w:tc>
          <w:tcPr>
            <w:tcW w:w="4574" w:type="dxa"/>
            <w:tcBorders/>
            <w:shd w:fill="auto" w:val="clear"/>
            <w:tcMar>
              <w:left w:w="108" w:type="dxa"/>
            </w:tcMar>
          </w:tcPr>
          <w:p>
            <w:pPr>
              <w:pStyle w:val="Normal"/>
              <w:jc w:val="both"/>
              <w:rPr>
                <w:rFonts w:cs="Calibri" w:cstheme="minorHAnsi"/>
              </w:rPr>
            </w:pPr>
            <w:r>
              <w:rPr>
                <w:rFonts w:cs="Calibri" w:cstheme="minorHAnsi"/>
              </w:rPr>
              <w:t>Allée des Noyers</w:t>
            </w:r>
          </w:p>
        </w:tc>
      </w:tr>
      <w:tr>
        <w:trPr>
          <w:trHeight w:val="258" w:hRule="atLeast"/>
        </w:trPr>
        <w:tc>
          <w:tcPr>
            <w:tcW w:w="4575" w:type="dxa"/>
            <w:tcBorders/>
            <w:shd w:fill="auto" w:val="clear"/>
            <w:tcMar>
              <w:left w:w="108" w:type="dxa"/>
            </w:tcMar>
          </w:tcPr>
          <w:p>
            <w:pPr>
              <w:pStyle w:val="Normal"/>
              <w:jc w:val="both"/>
              <w:rPr>
                <w:rFonts w:cs="Calibri" w:cstheme="minorHAnsi"/>
              </w:rPr>
            </w:pPr>
            <w:r>
              <w:rPr>
                <w:rFonts w:cs="Calibri" w:cstheme="minorHAnsi"/>
              </w:rPr>
              <w:t>GROUPE SCOLAIRE PAUL LANGEVIN</w:t>
            </w:r>
          </w:p>
        </w:tc>
        <w:tc>
          <w:tcPr>
            <w:tcW w:w="4574" w:type="dxa"/>
            <w:tcBorders/>
            <w:shd w:fill="auto" w:val="clear"/>
            <w:tcMar>
              <w:left w:w="108" w:type="dxa"/>
            </w:tcMar>
          </w:tcPr>
          <w:p>
            <w:pPr>
              <w:pStyle w:val="Normal"/>
              <w:jc w:val="both"/>
              <w:rPr>
                <w:rFonts w:cs="Calibri" w:cstheme="minorHAnsi"/>
              </w:rPr>
            </w:pPr>
            <w:r>
              <w:rPr>
                <w:rFonts w:cs="Calibri" w:cstheme="minorHAnsi"/>
              </w:rPr>
              <w:t>Allée Paul Langevin</w:t>
            </w:r>
          </w:p>
        </w:tc>
      </w:tr>
      <w:tr>
        <w:trPr>
          <w:trHeight w:val="258" w:hRule="atLeast"/>
        </w:trPr>
        <w:tc>
          <w:tcPr>
            <w:tcW w:w="4575" w:type="dxa"/>
            <w:tcBorders/>
            <w:shd w:fill="auto" w:val="clear"/>
            <w:tcMar>
              <w:left w:w="108" w:type="dxa"/>
            </w:tcMar>
          </w:tcPr>
          <w:p>
            <w:pPr>
              <w:pStyle w:val="Normal"/>
              <w:jc w:val="both"/>
              <w:rPr>
                <w:rFonts w:cs="Calibri" w:cstheme="minorHAnsi"/>
              </w:rPr>
            </w:pPr>
            <w:r>
              <w:rPr>
                <w:rFonts w:cs="Calibri" w:cstheme="minorHAnsi"/>
              </w:rPr>
              <w:t>GROUPE SCOLAIRE JOLIOT CURIE</w:t>
            </w:r>
          </w:p>
        </w:tc>
        <w:tc>
          <w:tcPr>
            <w:tcW w:w="4574" w:type="dxa"/>
            <w:tcBorders/>
            <w:shd w:fill="auto" w:val="clear"/>
            <w:tcMar>
              <w:left w:w="108" w:type="dxa"/>
            </w:tcMar>
          </w:tcPr>
          <w:p>
            <w:pPr>
              <w:pStyle w:val="Normal"/>
              <w:jc w:val="both"/>
              <w:rPr>
                <w:rFonts w:cs="Calibri" w:cstheme="minorHAnsi"/>
              </w:rPr>
            </w:pPr>
            <w:r>
              <w:rPr>
                <w:rFonts w:cs="Calibri" w:cstheme="minorHAnsi"/>
              </w:rPr>
              <w:t>Allée Joliot Curie</w:t>
            </w:r>
          </w:p>
        </w:tc>
      </w:tr>
      <w:tr>
        <w:trPr>
          <w:trHeight w:val="258" w:hRule="atLeast"/>
        </w:trPr>
        <w:tc>
          <w:tcPr>
            <w:tcW w:w="4575" w:type="dxa"/>
            <w:tcBorders/>
            <w:shd w:fill="auto" w:val="clear"/>
            <w:tcMar>
              <w:left w:w="108" w:type="dxa"/>
            </w:tcMar>
          </w:tcPr>
          <w:p>
            <w:pPr>
              <w:pStyle w:val="Normal"/>
              <w:jc w:val="both"/>
              <w:rPr>
                <w:rFonts w:cs="Calibri" w:cstheme="minorHAnsi"/>
              </w:rPr>
            </w:pPr>
            <w:r>
              <w:rPr>
                <w:rFonts w:cs="Calibri" w:cstheme="minorHAnsi"/>
              </w:rPr>
              <w:t>GROUPE SCOLAIRE OLIVIER PAULAT</w:t>
            </w:r>
          </w:p>
        </w:tc>
        <w:tc>
          <w:tcPr>
            <w:tcW w:w="4574" w:type="dxa"/>
            <w:tcBorders/>
            <w:shd w:fill="auto" w:val="clear"/>
            <w:tcMar>
              <w:left w:w="108" w:type="dxa"/>
            </w:tcMar>
          </w:tcPr>
          <w:p>
            <w:pPr>
              <w:pStyle w:val="Normal"/>
              <w:jc w:val="both"/>
              <w:rPr>
                <w:rFonts w:cs="Calibri" w:cstheme="minorHAnsi"/>
              </w:rPr>
            </w:pPr>
            <w:r>
              <w:rPr>
                <w:rFonts w:cs="Calibri" w:cstheme="minorHAnsi"/>
              </w:rPr>
              <w:t>Allée Olivier Paulat</w:t>
            </w:r>
          </w:p>
        </w:tc>
      </w:tr>
      <w:tr>
        <w:trPr>
          <w:trHeight w:val="258" w:hRule="atLeast"/>
        </w:trPr>
        <w:tc>
          <w:tcPr>
            <w:tcW w:w="4575" w:type="dxa"/>
            <w:tcBorders/>
            <w:shd w:fill="auto" w:val="clear"/>
            <w:tcMar>
              <w:left w:w="108" w:type="dxa"/>
            </w:tcMar>
          </w:tcPr>
          <w:p>
            <w:pPr>
              <w:pStyle w:val="Normal"/>
              <w:jc w:val="both"/>
              <w:rPr>
                <w:rFonts w:cs="Calibri" w:cstheme="minorHAnsi"/>
              </w:rPr>
            </w:pPr>
            <w:r>
              <w:rPr>
                <w:rFonts w:cs="Calibri" w:cstheme="minorHAnsi"/>
              </w:rPr>
              <w:t>GROUPE SCOLAIRE DES PYRAMIDES</w:t>
            </w:r>
          </w:p>
        </w:tc>
        <w:tc>
          <w:tcPr>
            <w:tcW w:w="4574" w:type="dxa"/>
            <w:tcBorders/>
            <w:shd w:fill="auto" w:val="clear"/>
            <w:tcMar>
              <w:left w:w="108" w:type="dxa"/>
            </w:tcMar>
          </w:tcPr>
          <w:p>
            <w:pPr>
              <w:pStyle w:val="Normal"/>
              <w:jc w:val="both"/>
              <w:rPr>
                <w:rFonts w:cs="Calibri" w:cstheme="minorHAnsi"/>
              </w:rPr>
            </w:pPr>
            <w:r>
              <w:rPr>
                <w:rFonts w:cs="Calibri" w:cstheme="minorHAnsi"/>
              </w:rPr>
              <w:t>Allée de Giseh</w:t>
            </w:r>
          </w:p>
        </w:tc>
      </w:tr>
      <w:tr>
        <w:trPr>
          <w:trHeight w:val="258" w:hRule="atLeast"/>
        </w:trPr>
        <w:tc>
          <w:tcPr>
            <w:tcW w:w="4575" w:type="dxa"/>
            <w:tcBorders/>
            <w:shd w:fill="auto" w:val="clear"/>
            <w:tcMar>
              <w:left w:w="108" w:type="dxa"/>
            </w:tcMar>
          </w:tcPr>
          <w:p>
            <w:pPr>
              <w:pStyle w:val="Normal"/>
              <w:jc w:val="both"/>
              <w:rPr>
                <w:rFonts w:cs="Calibri" w:cstheme="minorHAnsi"/>
              </w:rPr>
            </w:pPr>
            <w:r>
              <w:rPr>
                <w:rFonts w:cs="Calibri" w:cstheme="minorHAnsi"/>
              </w:rPr>
              <w:t>ECOLE MATERNELLE DE LA FAISANDERIE</w:t>
            </w:r>
          </w:p>
        </w:tc>
        <w:tc>
          <w:tcPr>
            <w:tcW w:w="4574" w:type="dxa"/>
            <w:tcBorders/>
            <w:shd w:fill="auto" w:val="clear"/>
            <w:tcMar>
              <w:left w:w="108" w:type="dxa"/>
            </w:tcMar>
          </w:tcPr>
          <w:p>
            <w:pPr>
              <w:pStyle w:val="Normal"/>
              <w:jc w:val="both"/>
              <w:rPr>
                <w:rFonts w:cs="Calibri" w:cstheme="minorHAnsi"/>
              </w:rPr>
            </w:pPr>
            <w:r>
              <w:rPr>
                <w:rFonts w:cs="Calibri" w:cstheme="minorHAnsi"/>
              </w:rPr>
              <w:t>Mail des Tilleuls</w:t>
            </w:r>
          </w:p>
        </w:tc>
      </w:tr>
      <w:tr>
        <w:trPr>
          <w:trHeight w:val="258" w:hRule="atLeast"/>
        </w:trPr>
        <w:tc>
          <w:tcPr>
            <w:tcW w:w="4575" w:type="dxa"/>
            <w:tcBorders/>
            <w:shd w:fill="auto" w:val="clear"/>
            <w:tcMar>
              <w:left w:w="108" w:type="dxa"/>
            </w:tcMar>
          </w:tcPr>
          <w:p>
            <w:pPr>
              <w:pStyle w:val="Normal"/>
              <w:jc w:val="both"/>
              <w:rPr>
                <w:rFonts w:cs="Calibri" w:cstheme="minorHAnsi"/>
              </w:rPr>
            </w:pPr>
            <w:r>
              <w:rPr>
                <w:rFonts w:cs="Calibri" w:cstheme="minorHAnsi"/>
              </w:rPr>
              <w:t>ECOLE ELEMENTAIRE HENRI WALLON</w:t>
            </w:r>
          </w:p>
        </w:tc>
        <w:tc>
          <w:tcPr>
            <w:tcW w:w="4574" w:type="dxa"/>
            <w:tcBorders/>
            <w:shd w:fill="auto" w:val="clear"/>
            <w:tcMar>
              <w:left w:w="108" w:type="dxa"/>
            </w:tcMar>
          </w:tcPr>
          <w:p>
            <w:pPr>
              <w:pStyle w:val="Normal"/>
              <w:jc w:val="both"/>
              <w:rPr>
                <w:rFonts w:cs="Calibri" w:cstheme="minorHAnsi"/>
              </w:rPr>
            </w:pPr>
            <w:r>
              <w:rPr>
                <w:rFonts w:cs="Calibri" w:cstheme="minorHAnsi"/>
              </w:rPr>
              <w:t>Rue Nelson Mandela</w:t>
            </w:r>
          </w:p>
        </w:tc>
      </w:tr>
      <w:tr>
        <w:trPr>
          <w:trHeight w:val="258" w:hRule="atLeast"/>
        </w:trPr>
        <w:tc>
          <w:tcPr>
            <w:tcW w:w="4575" w:type="dxa"/>
            <w:tcBorders/>
            <w:shd w:fill="auto" w:val="clear"/>
            <w:tcMar>
              <w:left w:w="108" w:type="dxa"/>
            </w:tcMar>
          </w:tcPr>
          <w:p>
            <w:pPr>
              <w:pStyle w:val="Normal"/>
              <w:jc w:val="both"/>
              <w:rPr>
                <w:rFonts w:cs="Calibri" w:cstheme="minorHAnsi"/>
              </w:rPr>
            </w:pPr>
            <w:r>
              <w:rPr>
                <w:rFonts w:cs="Calibri" w:cstheme="minorHAnsi"/>
              </w:rPr>
              <w:t>ECOLE MATERNELLE LA GARENNE</w:t>
            </w:r>
          </w:p>
        </w:tc>
        <w:tc>
          <w:tcPr>
            <w:tcW w:w="4574" w:type="dxa"/>
            <w:tcBorders/>
            <w:shd w:fill="auto" w:val="clear"/>
            <w:tcMar>
              <w:left w:w="108" w:type="dxa"/>
            </w:tcMar>
          </w:tcPr>
          <w:p>
            <w:pPr>
              <w:pStyle w:val="Normal"/>
              <w:jc w:val="both"/>
              <w:rPr>
                <w:rFonts w:cs="Calibri" w:cstheme="minorHAnsi"/>
              </w:rPr>
            </w:pPr>
            <w:r>
              <w:rPr>
                <w:rFonts w:cs="Calibri" w:cstheme="minorHAnsi"/>
              </w:rPr>
              <w:t>Rue de la Garenne</w:t>
            </w:r>
          </w:p>
        </w:tc>
      </w:tr>
      <w:tr>
        <w:trPr>
          <w:trHeight w:val="258" w:hRule="atLeast"/>
        </w:trPr>
        <w:tc>
          <w:tcPr>
            <w:tcW w:w="4575" w:type="dxa"/>
            <w:tcBorders/>
            <w:shd w:fill="auto" w:val="clear"/>
            <w:tcMar>
              <w:left w:w="108" w:type="dxa"/>
            </w:tcMar>
          </w:tcPr>
          <w:p>
            <w:pPr>
              <w:pStyle w:val="Normal"/>
              <w:jc w:val="both"/>
              <w:rPr>
                <w:rFonts w:cs="Calibri" w:cstheme="minorHAnsi"/>
              </w:rPr>
            </w:pPr>
            <w:r>
              <w:rPr>
                <w:rFonts w:cs="Calibri" w:cstheme="minorHAnsi"/>
              </w:rPr>
              <w:t>ECOLE ELEMENTAIRE LUCIEN DAUZIE</w:t>
            </w:r>
          </w:p>
        </w:tc>
        <w:tc>
          <w:tcPr>
            <w:tcW w:w="4574" w:type="dxa"/>
            <w:tcBorders/>
            <w:shd w:fill="auto" w:val="clear"/>
            <w:tcMar>
              <w:left w:w="108" w:type="dxa"/>
            </w:tcMar>
          </w:tcPr>
          <w:p>
            <w:pPr>
              <w:pStyle w:val="Normal"/>
              <w:jc w:val="both"/>
              <w:rPr>
                <w:rFonts w:cs="Calibri" w:cstheme="minorHAnsi"/>
              </w:rPr>
            </w:pPr>
            <w:r>
              <w:rPr>
                <w:rFonts w:cs="Calibri" w:cstheme="minorHAnsi"/>
              </w:rPr>
              <w:t>Avenue Victor Hugo</w:t>
            </w:r>
          </w:p>
        </w:tc>
      </w:tr>
      <w:tr>
        <w:trPr>
          <w:trHeight w:val="258" w:hRule="atLeast"/>
        </w:trPr>
        <w:tc>
          <w:tcPr>
            <w:tcW w:w="4575" w:type="dxa"/>
            <w:tcBorders/>
            <w:shd w:fill="auto" w:val="clear"/>
            <w:tcMar>
              <w:left w:w="108" w:type="dxa"/>
            </w:tcMar>
          </w:tcPr>
          <w:p>
            <w:pPr>
              <w:pStyle w:val="Normal"/>
              <w:jc w:val="both"/>
              <w:rPr>
                <w:rFonts w:cs="Calibri" w:cstheme="minorHAnsi"/>
              </w:rPr>
            </w:pPr>
            <w:r>
              <w:rPr>
                <w:rFonts w:cs="Calibri" w:cstheme="minorHAnsi"/>
              </w:rPr>
              <w:t>ACCUEIL DE LOISIRS VICTOR HUGO</w:t>
            </w:r>
          </w:p>
        </w:tc>
        <w:tc>
          <w:tcPr>
            <w:tcW w:w="4574" w:type="dxa"/>
            <w:tcBorders/>
            <w:shd w:fill="auto" w:val="clear"/>
            <w:tcMar>
              <w:left w:w="108" w:type="dxa"/>
            </w:tcMar>
          </w:tcPr>
          <w:p>
            <w:pPr>
              <w:pStyle w:val="Normal"/>
              <w:jc w:val="both"/>
              <w:rPr>
                <w:rFonts w:cs="Calibri" w:cstheme="minorHAnsi"/>
              </w:rPr>
            </w:pPr>
            <w:r>
              <w:rPr>
                <w:rFonts w:cs="Calibri" w:cstheme="minorHAnsi"/>
              </w:rPr>
              <w:t>Avenue Victor Hugo</w:t>
            </w:r>
          </w:p>
        </w:tc>
      </w:tr>
      <w:tr>
        <w:trPr>
          <w:trHeight w:val="258" w:hRule="atLeast"/>
        </w:trPr>
        <w:tc>
          <w:tcPr>
            <w:tcW w:w="4575" w:type="dxa"/>
            <w:tcBorders/>
            <w:shd w:fill="auto" w:val="clear"/>
            <w:tcMar>
              <w:left w:w="108" w:type="dxa"/>
            </w:tcMar>
          </w:tcPr>
          <w:p>
            <w:pPr>
              <w:pStyle w:val="Normal"/>
              <w:jc w:val="both"/>
              <w:rPr>
                <w:rFonts w:cs="Calibri" w:cstheme="minorHAnsi"/>
              </w:rPr>
            </w:pPr>
            <w:r>
              <w:rPr>
                <w:rFonts w:cs="Calibri" w:cstheme="minorHAnsi"/>
              </w:rPr>
              <w:t>STRUCTURE DU BOIS DES ENFANTS</w:t>
            </w:r>
          </w:p>
        </w:tc>
        <w:tc>
          <w:tcPr>
            <w:tcW w:w="4574" w:type="dxa"/>
            <w:tcBorders/>
            <w:shd w:fill="auto" w:val="clear"/>
            <w:tcMar>
              <w:left w:w="108" w:type="dxa"/>
            </w:tcMar>
          </w:tcPr>
          <w:p>
            <w:pPr>
              <w:pStyle w:val="Normal"/>
              <w:jc w:val="both"/>
              <w:rPr>
                <w:rFonts w:cs="Calibri" w:cstheme="minorHAnsi"/>
              </w:rPr>
            </w:pPr>
            <w:r>
              <w:rPr>
                <w:rFonts w:cs="Calibri" w:cstheme="minorHAnsi"/>
              </w:rPr>
              <w:t>Allée de la Lisière</w:t>
            </w:r>
          </w:p>
        </w:tc>
      </w:tr>
      <w:tr>
        <w:trPr>
          <w:trHeight w:val="258" w:hRule="atLeast"/>
        </w:trPr>
        <w:tc>
          <w:tcPr>
            <w:tcW w:w="4575" w:type="dxa"/>
            <w:tcBorders/>
            <w:shd w:fill="auto" w:val="clear"/>
            <w:tcMar>
              <w:left w:w="108" w:type="dxa"/>
            </w:tcMar>
          </w:tcPr>
          <w:p>
            <w:pPr>
              <w:pStyle w:val="Normal"/>
              <w:jc w:val="both"/>
              <w:rPr>
                <w:rFonts w:cs="Calibri" w:cstheme="minorHAnsi"/>
              </w:rPr>
            </w:pPr>
            <w:r>
              <w:rPr>
                <w:rFonts w:cs="Calibri" w:cstheme="minorHAnsi"/>
              </w:rPr>
              <w:t>LA MAISON DES ENFANTS /VIGNES DU BAILLY</w:t>
            </w:r>
          </w:p>
        </w:tc>
        <w:tc>
          <w:tcPr>
            <w:tcW w:w="4574" w:type="dxa"/>
            <w:tcBorders/>
            <w:shd w:fill="auto" w:val="clear"/>
            <w:tcMar>
              <w:left w:w="108" w:type="dxa"/>
            </w:tcMar>
          </w:tcPr>
          <w:p>
            <w:pPr>
              <w:pStyle w:val="Normal"/>
              <w:jc w:val="both"/>
              <w:rPr>
                <w:rFonts w:cs="Calibri" w:cstheme="minorHAnsi"/>
              </w:rPr>
            </w:pPr>
            <w:r>
              <w:rPr>
                <w:rFonts w:cs="Calibri" w:cstheme="minorHAnsi"/>
              </w:rPr>
              <w:t>Route de Malnoue</w:t>
            </w:r>
          </w:p>
        </w:tc>
      </w:tr>
    </w:tbl>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p>
      <w:pPr>
        <w:pStyle w:val="Normal"/>
        <w:rPr>
          <w:bCs/>
        </w:rPr>
      </w:pPr>
      <w:r>
        <w:rPr>
          <w:bCs/>
        </w:rPr>
      </w:r>
    </w:p>
    <w:tbl>
      <w:tblPr>
        <w:tblW w:w="9106" w:type="dxa"/>
        <w:jc w:val="left"/>
        <w:tblInd w:w="0" w:type="dxa"/>
        <w:tblBorders>
          <w:top w:val="single" w:sz="8" w:space="0" w:color="FFFF00"/>
          <w:left w:val="single" w:sz="8" w:space="0" w:color="FFFF00"/>
          <w:bottom w:val="single" w:sz="8" w:space="0" w:color="FFFF00"/>
          <w:right w:val="single" w:sz="8" w:space="0" w:color="FFFF00"/>
          <w:insideH w:val="single" w:sz="8" w:space="0" w:color="FFFF00"/>
          <w:insideV w:val="single" w:sz="8" w:space="0" w:color="FFFF00"/>
        </w:tblBorders>
        <w:tblCellMar>
          <w:top w:w="0" w:type="dxa"/>
          <w:left w:w="71" w:type="dxa"/>
          <w:bottom w:w="0" w:type="dxa"/>
          <w:right w:w="71" w:type="dxa"/>
        </w:tblCellMar>
        <w:tblLook w:val="0000"/>
      </w:tblPr>
      <w:tblGrid>
        <w:gridCol w:w="9106"/>
      </w:tblGrid>
      <w:tr>
        <w:trPr/>
        <w:tc>
          <w:tcPr>
            <w:tcW w:w="9106" w:type="dxa"/>
            <w:tcBorders>
              <w:top w:val="single" w:sz="8" w:space="0" w:color="FFFF00"/>
              <w:left w:val="single" w:sz="8" w:space="0" w:color="FFFF00"/>
              <w:bottom w:val="single" w:sz="8" w:space="0" w:color="FFFF00"/>
              <w:right w:val="single" w:sz="8" w:space="0" w:color="FFFF00"/>
              <w:insideH w:val="single" w:sz="8" w:space="0" w:color="FFFF00"/>
              <w:insideV w:val="single" w:sz="8" w:space="0" w:color="FFFF00"/>
            </w:tcBorders>
            <w:shd w:color="auto" w:fill="D9D9D9" w:val="clear"/>
            <w:tcMar>
              <w:left w:w="71" w:type="dxa"/>
            </w:tcMar>
          </w:tcPr>
          <w:p>
            <w:pPr>
              <w:pStyle w:val="Titre2"/>
              <w:ind w:left="0" w:hanging="0"/>
              <w:rPr>
                <w:i w:val="false"/>
                <w:i w:val="false"/>
                <w:smallCaps/>
                <w:color w:val="00000A"/>
                <w:sz w:val="36"/>
              </w:rPr>
            </w:pPr>
            <w:bookmarkStart w:id="19" w:name="_Toc4597736"/>
            <w:bookmarkEnd w:id="19"/>
            <w:r>
              <w:rPr>
                <w:i w:val="false"/>
                <w:smallCaps/>
                <w:color w:val="00000A"/>
                <w:sz w:val="36"/>
              </w:rPr>
              <w:t>Attestation sur l’honneur</w:t>
            </w:r>
          </w:p>
        </w:tc>
      </w:tr>
    </w:tbl>
    <w:p>
      <w:pPr>
        <w:pStyle w:val="Normal"/>
        <w:tabs>
          <w:tab w:val="left" w:pos="426" w:leader="none"/>
        </w:tabs>
        <w:jc w:val="both"/>
        <w:rPr>
          <w:rFonts w:ascii="Arial" w:hAnsi="Arial" w:cs="Arial"/>
        </w:rPr>
      </w:pPr>
      <w:r>
        <w:rPr>
          <w:rFonts w:cs="Arial" w:ascii="Arial" w:hAnsi="Arial"/>
        </w:rPr>
      </w:r>
    </w:p>
    <w:p>
      <w:pPr>
        <w:pStyle w:val="Normal"/>
        <w:tabs>
          <w:tab w:val="left" w:pos="576" w:leader="none"/>
        </w:tabs>
        <w:jc w:val="both"/>
        <w:rPr>
          <w:rFonts w:cs="Arial"/>
          <w:b/>
          <w:b/>
          <w:i/>
          <w:i/>
          <w:sz w:val="20"/>
        </w:rPr>
      </w:pPr>
      <w:r>
        <w:rPr>
          <w:rFonts w:cs="Arial"/>
          <w:sz w:val="20"/>
        </w:rPr>
        <w:t>Le candidat individuel, ou chaque membre du groupement, déclare sur l’honneur :</w:t>
      </w:r>
    </w:p>
    <w:p>
      <w:pPr>
        <w:pStyle w:val="NormalWeb"/>
        <w:numPr>
          <w:ilvl w:val="0"/>
          <w:numId w:val="4"/>
        </w:numPr>
        <w:suppressAutoHyphens w:val="true"/>
        <w:spacing w:beforeAutospacing="0" w:before="120" w:afterAutospacing="0" w:after="0"/>
        <w:ind w:left="357" w:hanging="357"/>
        <w:jc w:val="both"/>
        <w:rPr>
          <w:rFonts w:ascii="Calibri" w:hAnsi="Calibri" w:cs="Arial" w:asciiTheme="minorHAnsi" w:hAnsiTheme="minorHAnsi"/>
          <w:sz w:val="18"/>
          <w:szCs w:val="20"/>
        </w:rPr>
      </w:pPr>
      <w:r>
        <w:rPr>
          <w:rFonts w:cs="Arial" w:ascii="Calibri" w:hAnsi="Calibri" w:asciiTheme="minorHAnsi" w:hAnsiTheme="minorHAnsi"/>
          <w:b/>
          <w:i/>
          <w:sz w:val="18"/>
          <w:szCs w:val="20"/>
        </w:rPr>
        <w:t>Condamnation définitive :</w:t>
      </w:r>
    </w:p>
    <w:p>
      <w:pPr>
        <w:pStyle w:val="NormalWeb"/>
        <w:spacing w:beforeAutospacing="0" w:before="0" w:afterAutospacing="0" w:after="0"/>
        <w:jc w:val="both"/>
        <w:rPr>
          <w:rFonts w:ascii="Calibri" w:hAnsi="Calibri" w:asciiTheme="minorHAnsi" w:hAnsiTheme="minorHAnsi"/>
          <w:sz w:val="22"/>
        </w:rPr>
      </w:pPr>
      <w:r>
        <w:rPr>
          <w:rFonts w:cs="Arial" w:ascii="Calibri" w:hAnsi="Calibri" w:asciiTheme="minorHAnsi" w:hAnsiTheme="minorHAnsi"/>
          <w:sz w:val="18"/>
          <w:szCs w:val="20"/>
        </w:rPr>
        <w:t>- ne pas avoir fait l'objet, depuis moins de cinq ans, d'une condamnation définitive pour l'une des infractions prévues aux articles 222-38, 222-40, 225-1, 226-13, 313-1 à 313-3, 314-1 à 314-3, 324-1 à 324-6, 413-9 à 413-12, 421-1 à 421-2-3, au deuxième alinéa de l'article 421-5, à l'article 433-1, au second alinéa de l'article 433-2, au huitième alinéa de l'article 434-9, au second alinéa de l'article 434-9-1, aux articles 435-3, 435-4, 435-9, 435-10, 441-1 à 441-7, 441-9, 445-1 et 450-1 du code pénal, à l'article 1741 du code général des impôts, aux articles L. 2339-2 à L. 2339-4, L. 2339-11-1 à L. 2339-11-3 du code de la défense et à l’article L. 317-8 du code de la sécurité intérieure, ou pour une infraction de même nature dans un autre Etat de l’Union européenne ;</w:t>
      </w:r>
    </w:p>
    <w:p>
      <w:pPr>
        <w:pStyle w:val="NormalWeb"/>
        <w:spacing w:beforeAutospacing="0" w:before="0" w:afterAutospacing="0" w:after="0"/>
        <w:jc w:val="both"/>
        <w:rPr>
          <w:rFonts w:ascii="Calibri" w:hAnsi="Calibri" w:cs="Arial" w:asciiTheme="minorHAnsi" w:hAnsiTheme="minorHAnsi"/>
          <w:b/>
          <w:b/>
          <w:i/>
          <w:i/>
          <w:sz w:val="18"/>
          <w:szCs w:val="20"/>
        </w:rPr>
      </w:pPr>
      <w:r>
        <w:rPr>
          <w:rFonts w:ascii="Calibri" w:hAnsi="Calibri" w:asciiTheme="minorHAnsi" w:hAnsiTheme="minorHAnsi"/>
          <w:sz w:val="22"/>
        </w:rPr>
        <w:t xml:space="preserve">- </w:t>
      </w:r>
      <w:r>
        <w:rPr>
          <w:rFonts w:cs="Arial" w:ascii="Calibri" w:hAnsi="Calibri" w:asciiTheme="minorHAnsi" w:hAnsiTheme="minorHAnsi"/>
          <w:sz w:val="18"/>
          <w:szCs w:val="20"/>
        </w:rPr>
        <w:t>ne pas être exclu des marchés publics, à titre de peine principale ou complémentaire prononcée par le juge pénal, sur le fondement des articles 131-10 ou 131-39 du code pénal ;</w:t>
      </w:r>
    </w:p>
    <w:p>
      <w:pPr>
        <w:pStyle w:val="NormalWeb"/>
        <w:numPr>
          <w:ilvl w:val="0"/>
          <w:numId w:val="4"/>
        </w:numPr>
        <w:suppressAutoHyphens w:val="true"/>
        <w:spacing w:beforeAutospacing="0" w:before="120" w:afterAutospacing="0" w:after="0"/>
        <w:ind w:left="357" w:hanging="357"/>
        <w:jc w:val="both"/>
        <w:rPr>
          <w:rFonts w:ascii="Calibri" w:hAnsi="Calibri" w:cs="Arial" w:asciiTheme="minorHAnsi" w:hAnsiTheme="minorHAnsi"/>
          <w:i/>
          <w:i/>
          <w:sz w:val="18"/>
          <w:szCs w:val="20"/>
        </w:rPr>
      </w:pPr>
      <w:r>
        <w:rPr>
          <w:rFonts w:cs="Arial" w:ascii="Calibri" w:hAnsi="Calibri" w:asciiTheme="minorHAnsi" w:hAnsiTheme="minorHAnsi"/>
          <w:b/>
          <w:i/>
          <w:sz w:val="18"/>
          <w:szCs w:val="20"/>
        </w:rPr>
        <w:t>Lutte contre le travail illégal :</w:t>
      </w:r>
    </w:p>
    <w:p>
      <w:pPr>
        <w:pStyle w:val="NormalWeb"/>
        <w:spacing w:beforeAutospacing="0" w:before="0" w:afterAutospacing="0" w:after="0"/>
        <w:jc w:val="both"/>
        <w:rPr>
          <w:rFonts w:ascii="Calibri" w:hAnsi="Calibri" w:cs="Arial" w:asciiTheme="minorHAnsi" w:hAnsiTheme="minorHAnsi"/>
          <w:sz w:val="22"/>
        </w:rPr>
      </w:pPr>
      <w:r>
        <w:rPr>
          <w:rFonts w:cs="Arial" w:ascii="Calibri" w:hAnsi="Calibri" w:asciiTheme="minorHAnsi" w:hAnsiTheme="minorHAnsi"/>
          <w:i/>
          <w:sz w:val="18"/>
          <w:szCs w:val="20"/>
        </w:rPr>
        <w:t xml:space="preserve">- </w:t>
      </w:r>
      <w:r>
        <w:rPr>
          <w:rFonts w:cs="Arial" w:ascii="Calibri" w:hAnsi="Calibri" w:asciiTheme="minorHAnsi" w:hAnsiTheme="minorHAnsi"/>
          <w:sz w:val="18"/>
          <w:szCs w:val="20"/>
        </w:rPr>
        <w:t>ne pas avoir fait l'objet, depuis moins de cinq ans, d'une condamnation inscrite au bulletin n° 2 du casier judiciaire pour les infractions mentionnées aux articles L. 8221-1, L. 8221-3, L. 8221-5, L. 8231-1, L. 8241-1 , L. 8251-1 et L. 8251-2 du code du travail, ou pour des infractions de même nature dans un autre Etat de l’Union européenne ;</w:t>
      </w:r>
    </w:p>
    <w:p>
      <w:pPr>
        <w:pStyle w:val="Normal"/>
        <w:tabs>
          <w:tab w:val="left" w:pos="576" w:leader="none"/>
        </w:tabs>
        <w:spacing w:before="80" w:after="0"/>
        <w:jc w:val="both"/>
        <w:rPr>
          <w:rFonts w:cs="Arial"/>
          <w:b/>
          <w:b/>
          <w:i/>
          <w:i/>
          <w:sz w:val="18"/>
        </w:rPr>
      </w:pPr>
      <w:r>
        <w:rPr>
          <w:rFonts w:cs="Arial"/>
          <w:sz w:val="18"/>
        </w:rPr>
        <w:t>- pour les contrats administratifs, ne pas faire l’objet d’une mesure d’exclusion ordonnée par le préfet, en application des articles L. 8272-4, R. 8272-10 et R. 8272-11 du code du travail ;</w:t>
      </w:r>
    </w:p>
    <w:p>
      <w:pPr>
        <w:pStyle w:val="Normal"/>
        <w:numPr>
          <w:ilvl w:val="0"/>
          <w:numId w:val="4"/>
        </w:numPr>
        <w:tabs>
          <w:tab w:val="left" w:pos="0" w:leader="none"/>
          <w:tab w:val="left" w:pos="576" w:leader="none"/>
        </w:tabs>
        <w:suppressAutoHyphens w:val="true"/>
        <w:spacing w:before="120" w:after="0"/>
        <w:ind w:left="0" w:hanging="0"/>
        <w:jc w:val="both"/>
        <w:rPr>
          <w:rFonts w:cs="Arial"/>
          <w:b/>
          <w:b/>
          <w:i/>
          <w:i/>
          <w:sz w:val="18"/>
          <w:szCs w:val="18"/>
        </w:rPr>
      </w:pPr>
      <w:r>
        <w:rPr>
          <w:rFonts w:cs="Arial"/>
          <w:b/>
          <w:i/>
          <w:sz w:val="18"/>
          <w:szCs w:val="18"/>
        </w:rPr>
        <w:t>Obligation d’emploi des travailleurs handicapés ou assimilés :</w:t>
      </w:r>
      <w:r>
        <w:rPr>
          <w:rFonts w:cs="Arial"/>
          <w:sz w:val="18"/>
          <w:szCs w:val="18"/>
        </w:rPr>
        <w:t xml:space="preserve"> pour les marchés publics et accords-cadres soumis au code des marchés publics, être en règle, au cours de l'année précédant celle au cours de laquelle a lieu le lancement de la consultation, au regard des articles L. 5212-1 à L. 5212-11 du </w:t>
      </w:r>
      <w:r>
        <w:rPr>
          <w:rFonts w:cs="Arial"/>
          <w:bCs/>
          <w:sz w:val="18"/>
          <w:szCs w:val="18"/>
        </w:rPr>
        <w:t>code du travail</w:t>
      </w:r>
      <w:r>
        <w:rPr>
          <w:rFonts w:cs="Arial"/>
          <w:sz w:val="18"/>
          <w:szCs w:val="18"/>
        </w:rPr>
        <w:t xml:space="preserve"> concernant l’emploi des travailleurs handicapés ;</w:t>
      </w:r>
    </w:p>
    <w:p>
      <w:pPr>
        <w:pStyle w:val="NormalWeb"/>
        <w:numPr>
          <w:ilvl w:val="0"/>
          <w:numId w:val="4"/>
        </w:numPr>
        <w:tabs>
          <w:tab w:val="left" w:pos="0" w:leader="none"/>
        </w:tabs>
        <w:suppressAutoHyphens w:val="true"/>
        <w:spacing w:beforeAutospacing="0" w:before="120" w:afterAutospacing="0" w:after="0"/>
        <w:ind w:left="0" w:hanging="0"/>
        <w:jc w:val="both"/>
        <w:rPr>
          <w:rFonts w:ascii="Calibri" w:hAnsi="Calibri" w:cs="Arial" w:asciiTheme="minorHAnsi" w:hAnsiTheme="minorHAnsi"/>
          <w:b/>
          <w:b/>
          <w:i/>
          <w:i/>
          <w:sz w:val="18"/>
          <w:szCs w:val="18"/>
        </w:rPr>
      </w:pPr>
      <w:r>
        <w:rPr>
          <w:rFonts w:cs="Arial" w:ascii="Calibri" w:hAnsi="Calibri" w:asciiTheme="minorHAnsi" w:hAnsiTheme="minorHAnsi"/>
          <w:b/>
          <w:i/>
          <w:sz w:val="18"/>
          <w:szCs w:val="18"/>
        </w:rPr>
        <w:t>Liquidation judiciaire :</w:t>
      </w:r>
      <w:r>
        <w:rPr>
          <w:rFonts w:cs="Arial" w:ascii="Calibri" w:hAnsi="Calibri" w:asciiTheme="minorHAnsi" w:hAnsiTheme="minorHAnsi"/>
          <w:sz w:val="18"/>
          <w:szCs w:val="18"/>
        </w:rPr>
        <w:t xml:space="preserve"> ne pas être soumis à la procédure de liquidation judiciaire prévue à l’article L. 640-1 du code de commerce, ne pas être en état de faillite personnelle en application des articles L. 653-1 à L. 653-8 du même code, et ne pas faire l’objet d’une procédure équivalente régie par un droit étranger ;</w:t>
      </w:r>
    </w:p>
    <w:p>
      <w:pPr>
        <w:pStyle w:val="NormalWeb"/>
        <w:numPr>
          <w:ilvl w:val="0"/>
          <w:numId w:val="4"/>
        </w:numPr>
        <w:tabs>
          <w:tab w:val="left" w:pos="0" w:leader="none"/>
        </w:tabs>
        <w:suppressAutoHyphens w:val="true"/>
        <w:spacing w:beforeAutospacing="0" w:before="120" w:afterAutospacing="0" w:after="0"/>
        <w:ind w:left="0" w:hanging="0"/>
        <w:jc w:val="both"/>
        <w:rPr>
          <w:rFonts w:ascii="Calibri" w:hAnsi="Calibri" w:cs="Arial" w:asciiTheme="minorHAnsi" w:hAnsiTheme="minorHAnsi"/>
          <w:b/>
          <w:b/>
          <w:i/>
          <w:i/>
          <w:sz w:val="18"/>
          <w:szCs w:val="18"/>
        </w:rPr>
      </w:pPr>
      <w:r>
        <w:rPr>
          <w:rFonts w:cs="Arial" w:ascii="Calibri" w:hAnsi="Calibri" w:asciiTheme="minorHAnsi" w:hAnsiTheme="minorHAnsi"/>
          <w:b/>
          <w:i/>
          <w:sz w:val="18"/>
          <w:szCs w:val="18"/>
        </w:rPr>
        <w:t>Redressement judiciaire :</w:t>
      </w:r>
      <w:r>
        <w:rPr>
          <w:rFonts w:cs="Arial" w:ascii="Calibri" w:hAnsi="Calibri" w:asciiTheme="minorHAnsi" w:hAnsiTheme="minorHAnsi"/>
          <w:i/>
          <w:sz w:val="18"/>
          <w:szCs w:val="18"/>
        </w:rPr>
        <w:t xml:space="preserve"> </w:t>
      </w:r>
      <w:r>
        <w:rPr>
          <w:rFonts w:cs="Arial" w:ascii="Calibri" w:hAnsi="Calibri" w:asciiTheme="minorHAnsi" w:hAnsiTheme="minorHAnsi"/>
          <w:sz w:val="18"/>
          <w:szCs w:val="18"/>
        </w:rPr>
        <w:t>ne pas être admis à la procédure de redressement judiciaire instituée par l'article L. 631-1 du code de commerce ou à une procédure équivalente régie par un droit étranger, ou justifier d’une habilitation à poursuivre ses activités pendant la durée prévisible d'exécution du marché public ou de l’accord</w:t>
        <w:noBreakHyphen/>
        <w:t>cadre ;</w:t>
      </w:r>
    </w:p>
    <w:p>
      <w:pPr>
        <w:pStyle w:val="Normal"/>
        <w:numPr>
          <w:ilvl w:val="0"/>
          <w:numId w:val="4"/>
        </w:numPr>
        <w:tabs>
          <w:tab w:val="left" w:pos="0" w:leader="none"/>
          <w:tab w:val="left" w:pos="576" w:leader="none"/>
        </w:tabs>
        <w:suppressAutoHyphens w:val="true"/>
        <w:spacing w:before="120" w:after="0"/>
        <w:ind w:left="0" w:hanging="0"/>
        <w:jc w:val="both"/>
        <w:rPr>
          <w:rFonts w:cs="Arial"/>
          <w:b/>
          <w:b/>
          <w:i/>
          <w:i/>
          <w:sz w:val="18"/>
          <w:szCs w:val="18"/>
        </w:rPr>
      </w:pPr>
      <w:r>
        <w:rPr>
          <w:rFonts w:cs="Arial"/>
          <w:b/>
          <w:i/>
          <w:sz w:val="18"/>
          <w:szCs w:val="18"/>
        </w:rPr>
        <w:t>Situation fiscale et sociale :</w:t>
      </w:r>
      <w:r>
        <w:rPr>
          <w:rFonts w:cs="Arial"/>
          <w:sz w:val="18"/>
          <w:szCs w:val="18"/>
        </w:rPr>
        <w:t xml:space="preserve"> avoir souscrit les déclarations lui incombant en matière fiscale et sociale et acquitté les impôts et cotisations exigibles, ou s’être acquitté spontanément de ces impôts et cotisations avant la date du lancement de la présente consultation ou avoir constitué spontanément avant cette date des garanties jugées suffisantes par le comptable ou l’organisme chargé du recouvrement ;</w:t>
      </w:r>
    </w:p>
    <w:p>
      <w:pPr>
        <w:pStyle w:val="NormalWeb"/>
        <w:numPr>
          <w:ilvl w:val="0"/>
          <w:numId w:val="4"/>
        </w:numPr>
        <w:suppressAutoHyphens w:val="true"/>
        <w:spacing w:beforeAutospacing="0" w:before="120" w:afterAutospacing="0" w:after="0"/>
        <w:ind w:left="357" w:hanging="357"/>
        <w:jc w:val="both"/>
        <w:rPr>
          <w:rFonts w:ascii="Calibri" w:hAnsi="Calibri" w:cs="Arial" w:asciiTheme="minorHAnsi" w:hAnsiTheme="minorHAnsi"/>
          <w:sz w:val="18"/>
          <w:szCs w:val="18"/>
        </w:rPr>
      </w:pPr>
      <w:r>
        <w:rPr>
          <w:rFonts w:cs="Arial" w:ascii="Calibri" w:hAnsi="Calibri" w:asciiTheme="minorHAnsi" w:hAnsiTheme="minorHAnsi"/>
          <w:b/>
          <w:i/>
          <w:sz w:val="18"/>
          <w:szCs w:val="18"/>
        </w:rPr>
        <w:t>Marchés de défense et de sécurité :</w:t>
      </w:r>
    </w:p>
    <w:p>
      <w:pPr>
        <w:pStyle w:val="NormalWeb"/>
        <w:spacing w:beforeAutospacing="0" w:before="0" w:afterAutospacing="0" w:after="0"/>
        <w:jc w:val="both"/>
        <w:rPr>
          <w:rFonts w:ascii="Calibri" w:hAnsi="Calibri" w:cs="Arial" w:asciiTheme="minorHAnsi" w:hAnsiTheme="minorHAnsi"/>
          <w:sz w:val="18"/>
          <w:szCs w:val="18"/>
        </w:rPr>
      </w:pPr>
      <w:r>
        <w:rPr>
          <w:rFonts w:cs="Arial" w:ascii="Calibri" w:hAnsi="Calibri" w:asciiTheme="minorHAnsi" w:hAnsiTheme="minorHAnsi"/>
          <w:sz w:val="18"/>
          <w:szCs w:val="18"/>
        </w:rPr>
        <w:t>- ne pas avoir été sanctionné par la résiliation de son marché et ne pas avoir vu sa responsabilité civile engagée depuis moins de cinq ans, par une décision de justice définitive, pour méconnaissance de ses engagements en matière de sécurité d'approvisionnement ou de sécurité de l'information, ou avoir entièrement exécuté les décisions de justice éventuellement prononcées à son encontre et établir, par tout moyen, que son professionnalisme ne peut plus être remis en doute ;</w:t>
      </w:r>
    </w:p>
    <w:p>
      <w:pPr>
        <w:pStyle w:val="NormalWeb"/>
        <w:spacing w:beforeAutospacing="0" w:before="0" w:afterAutospacing="0" w:after="0"/>
        <w:jc w:val="both"/>
        <w:rPr>
          <w:rFonts w:ascii="Calibri" w:hAnsi="Calibri" w:cs="Arial" w:asciiTheme="minorHAnsi" w:hAnsiTheme="minorHAnsi"/>
          <w:sz w:val="18"/>
          <w:szCs w:val="18"/>
        </w:rPr>
      </w:pPr>
      <w:r>
        <w:rPr>
          <w:rFonts w:cs="Arial" w:ascii="Calibri" w:hAnsi="Calibri" w:asciiTheme="minorHAnsi" w:hAnsiTheme="minorHAnsi"/>
          <w:sz w:val="18"/>
          <w:szCs w:val="18"/>
        </w:rPr>
        <w:t>- avoir la fiabilité nécessaire pour éviter des atteintes à la sécurité de l'Etat ;</w:t>
      </w:r>
    </w:p>
    <w:p>
      <w:pPr>
        <w:pStyle w:val="Normal"/>
        <w:numPr>
          <w:ilvl w:val="0"/>
          <w:numId w:val="4"/>
        </w:numPr>
        <w:tabs>
          <w:tab w:val="left" w:pos="576" w:leader="none"/>
        </w:tabs>
        <w:suppressAutoHyphens w:val="true"/>
        <w:spacing w:before="80" w:after="0"/>
        <w:ind w:left="0" w:hanging="0"/>
        <w:jc w:val="both"/>
        <w:rPr>
          <w:rFonts w:cs="Arial"/>
          <w:b/>
          <w:b/>
          <w:sz w:val="18"/>
          <w:szCs w:val="18"/>
        </w:rPr>
      </w:pPr>
      <w:r>
        <w:rPr>
          <w:rFonts w:cs="Arial"/>
          <w:b/>
          <w:i/>
          <w:sz w:val="18"/>
          <w:szCs w:val="18"/>
        </w:rPr>
        <w:t>Egalité professionnelle entre les femmes et les hommes</w:t>
      </w:r>
      <w:r>
        <w:rPr>
          <w:rFonts w:cs="Arial"/>
          <w:b/>
          <w:sz w:val="18"/>
          <w:szCs w:val="18"/>
        </w:rPr>
        <w:t> :</w:t>
      </w:r>
    </w:p>
    <w:p>
      <w:pPr>
        <w:pStyle w:val="Normal"/>
        <w:numPr>
          <w:ilvl w:val="0"/>
          <w:numId w:val="5"/>
        </w:numPr>
        <w:tabs>
          <w:tab w:val="left" w:pos="576" w:leader="none"/>
        </w:tabs>
        <w:ind w:left="0" w:hanging="0"/>
        <w:jc w:val="both"/>
        <w:rPr>
          <w:rFonts w:cs="Arial"/>
          <w:sz w:val="18"/>
          <w:szCs w:val="18"/>
        </w:rPr>
      </w:pPr>
      <w:r>
        <w:rPr>
          <w:rFonts w:cs="Arial"/>
          <w:sz w:val="18"/>
          <w:szCs w:val="18"/>
        </w:rPr>
        <w:t>ne pas avoir fait l'objet, depuis moins de cinq ans, d'une condamnation inscrite au bulletin n° 2 du casier judiciaire pour les infractions mentionnées à l’article L. 1146-1 du code du travail ;</w:t>
      </w:r>
    </w:p>
    <w:p>
      <w:pPr>
        <w:pStyle w:val="Normal"/>
        <w:numPr>
          <w:ilvl w:val="0"/>
          <w:numId w:val="5"/>
        </w:numPr>
        <w:tabs>
          <w:tab w:val="left" w:pos="576" w:leader="none"/>
        </w:tabs>
        <w:ind w:left="0" w:hanging="0"/>
        <w:jc w:val="both"/>
        <w:rPr>
          <w:rFonts w:cs="Arial"/>
          <w:sz w:val="20"/>
        </w:rPr>
      </w:pPr>
      <w:r>
        <w:rPr>
          <w:rFonts w:cs="Arial"/>
          <w:sz w:val="18"/>
          <w:szCs w:val="18"/>
        </w:rPr>
        <w:t>avoir, au 31 décembre de l’année précédant celle au cours de laquelle a lieu le lancement de la consultation, mis en œuvre l’obligation de négociation prévue à l’article L. 2242-5 du code du travail ou, à</w:t>
      </w:r>
      <w:r>
        <w:rPr>
          <w:rFonts w:cs="Arial"/>
          <w:sz w:val="20"/>
        </w:rPr>
        <w:t xml:space="preserve"> défaut, avoir réalisé ou engagé la régularisation de cette situation à la date de la soumission ;</w:t>
      </w:r>
    </w:p>
    <w:p>
      <w:pPr>
        <w:pStyle w:val="Normal"/>
        <w:tabs>
          <w:tab w:val="left" w:pos="288" w:leader="none"/>
        </w:tabs>
        <w:ind w:left="-426" w:right="-428" w:hanging="0"/>
        <w:jc w:val="both"/>
        <w:rPr>
          <w:rFonts w:ascii="Arial" w:hAnsi="Arial" w:cs="Arial"/>
        </w:rPr>
      </w:pPr>
      <w:r>
        <w:rPr>
          <w:rFonts w:cs="Arial" w:ascii="Arial" w:hAnsi="Arial"/>
        </w:rPr>
      </w:r>
    </w:p>
    <w:p>
      <w:pPr>
        <w:pStyle w:val="Normal"/>
        <w:ind w:left="-426" w:right="-428" w:hanging="0"/>
        <w:jc w:val="both"/>
        <w:rPr>
          <w:rFonts w:ascii="Cambria" w:hAnsi="Cambria" w:cs="Arial" w:asciiTheme="majorHAnsi" w:hAnsiTheme="majorHAnsi"/>
          <w:bCs/>
          <w:i/>
          <w:i/>
          <w:iCs/>
          <w:sz w:val="18"/>
        </w:rPr>
      </w:pPr>
      <w:r>
        <w:rPr>
          <w:rFonts w:cs="Arial" w:ascii="Cambria" w:hAnsi="Cambria" w:asciiTheme="majorHAnsi" w:hAnsiTheme="majorHAnsi"/>
          <w:bCs/>
          <w:i/>
          <w:iCs/>
          <w:sz w:val="18"/>
        </w:rPr>
        <w:t>NB - Les pièces accompagnant le dossier de candidature rédigées en langue étrangère seront acceptées si elles sont accompagnées d'une traduction en langue française.</w:t>
      </w:r>
    </w:p>
    <w:p>
      <w:pPr>
        <w:pStyle w:val="Normal"/>
        <w:rPr>
          <w:rFonts w:ascii="Arial" w:hAnsi="Arial" w:cs="Arial"/>
          <w:b/>
          <w:b/>
          <w:bCs/>
          <w:i/>
          <w:i/>
          <w:iCs/>
        </w:rPr>
      </w:pPr>
      <w:r>
        <w:rPr>
          <w:rFonts w:cs="Arial" w:ascii="Arial" w:hAnsi="Arial"/>
          <w:b/>
          <w:bCs/>
          <w:i/>
          <w:iCs/>
        </w:rPr>
      </w:r>
    </w:p>
    <w:tbl>
      <w:tblPr>
        <w:tblW w:w="9210" w:type="dxa"/>
        <w:jc w:val="left"/>
        <w:tblInd w:w="0" w:type="dxa"/>
        <w:tblBorders>
          <w:top w:val="single" w:sz="4" w:space="0" w:color="00000A"/>
        </w:tblBorders>
        <w:tblCellMar>
          <w:top w:w="0" w:type="dxa"/>
          <w:left w:w="70" w:type="dxa"/>
          <w:bottom w:w="0" w:type="dxa"/>
          <w:right w:w="70" w:type="dxa"/>
        </w:tblCellMar>
        <w:tblLook w:val="0000"/>
      </w:tblPr>
      <w:tblGrid>
        <w:gridCol w:w="4507"/>
        <w:gridCol w:w="4702"/>
      </w:tblGrid>
      <w:tr>
        <w:trPr>
          <w:cantSplit w:val="true"/>
        </w:trPr>
        <w:tc>
          <w:tcPr>
            <w:tcW w:w="4507" w:type="dxa"/>
            <w:vMerge w:val="restart"/>
            <w:tcBorders>
              <w:top w:val="single" w:sz="4" w:space="0" w:color="00000A"/>
            </w:tcBorders>
            <w:shd w:fill="auto" w:val="clear"/>
          </w:tcPr>
          <w:p>
            <w:pPr>
              <w:pStyle w:val="Entte"/>
              <w:rPr>
                <w:rFonts w:cs="Arial"/>
                <w:sz w:val="20"/>
                <w:szCs w:val="20"/>
              </w:rPr>
            </w:pPr>
            <w:r>
              <w:rPr>
                <w:rFonts w:cs="Arial"/>
                <w:sz w:val="20"/>
                <w:szCs w:val="20"/>
              </w:rPr>
              <w:t>Fait à………………………….</w:t>
            </w:r>
          </w:p>
          <w:p>
            <w:pPr>
              <w:pStyle w:val="Entte"/>
              <w:rPr>
                <w:rFonts w:cs="Arial"/>
                <w:sz w:val="20"/>
                <w:szCs w:val="20"/>
              </w:rPr>
            </w:pPr>
            <w:r>
              <w:rPr>
                <w:rFonts w:cs="Arial"/>
                <w:sz w:val="20"/>
                <w:szCs w:val="20"/>
              </w:rPr>
              <w:t>Le …………………………….</w:t>
            </w:r>
          </w:p>
        </w:tc>
        <w:tc>
          <w:tcPr>
            <w:tcW w:w="4702" w:type="dxa"/>
            <w:tcBorders>
              <w:top w:val="single" w:sz="4" w:space="0" w:color="00000A"/>
            </w:tcBorders>
            <w:shd w:fill="auto" w:val="clear"/>
          </w:tcPr>
          <w:p>
            <w:pPr>
              <w:pStyle w:val="Normal"/>
              <w:jc w:val="center"/>
              <w:rPr>
                <w:sz w:val="20"/>
                <w:szCs w:val="20"/>
              </w:rPr>
            </w:pPr>
            <w:r>
              <w:rPr>
                <w:sz w:val="20"/>
                <w:szCs w:val="20"/>
              </w:rPr>
              <w:t xml:space="preserve">Signature de la personne habilitée </w:t>
            </w:r>
          </w:p>
          <w:p>
            <w:pPr>
              <w:pStyle w:val="Normal"/>
              <w:jc w:val="center"/>
              <w:rPr>
                <w:sz w:val="20"/>
                <w:szCs w:val="20"/>
              </w:rPr>
            </w:pPr>
            <w:r>
              <w:rPr>
                <w:sz w:val="20"/>
                <w:szCs w:val="20"/>
              </w:rPr>
              <w:t>à engager la société et cachet</w:t>
            </w:r>
          </w:p>
          <w:p>
            <w:pPr>
              <w:pStyle w:val="Titre1"/>
              <w:rPr>
                <w:rFonts w:ascii="Calibri" w:hAnsi="Calibri" w:asciiTheme="minorHAnsi" w:hAnsiTheme="minorHAnsi"/>
                <w:b w:val="false"/>
                <w:b w:val="false"/>
                <w:bCs w:val="false"/>
                <w:i/>
                <w:i/>
                <w:iCs/>
                <w:sz w:val="20"/>
                <w:szCs w:val="20"/>
              </w:rPr>
            </w:pPr>
            <w:r>
              <w:rPr>
                <w:rFonts w:asciiTheme="minorHAnsi" w:hAnsiTheme="minorHAnsi"/>
                <w:b w:val="false"/>
                <w:bCs w:val="false"/>
                <w:i/>
                <w:iCs/>
                <w:sz w:val="20"/>
                <w:szCs w:val="20"/>
              </w:rPr>
            </w:r>
          </w:p>
        </w:tc>
      </w:tr>
      <w:tr>
        <w:trPr>
          <w:trHeight w:val="288" w:hRule="atLeast"/>
          <w:cantSplit w:val="true"/>
        </w:trPr>
        <w:tc>
          <w:tcPr>
            <w:tcW w:w="4507" w:type="dxa"/>
            <w:vMerge w:val="continue"/>
            <w:tcBorders/>
            <w:shd w:fill="auto" w:val="clear"/>
          </w:tcPr>
          <w:p>
            <w:pPr>
              <w:pStyle w:val="Entte"/>
              <w:rPr>
                <w:rFonts w:ascii="Arial" w:hAnsi="Arial" w:cs="Arial"/>
              </w:rPr>
            </w:pPr>
            <w:r>
              <w:rPr>
                <w:rFonts w:cs="Arial" w:ascii="Arial" w:hAnsi="Arial"/>
              </w:rPr>
            </w:r>
          </w:p>
        </w:tc>
        <w:tc>
          <w:tcPr>
            <w:tcW w:w="4702" w:type="dxa"/>
            <w:tcBorders/>
            <w:shd w:fill="auto" w:val="clear"/>
          </w:tcPr>
          <w:p>
            <w:pPr>
              <w:pStyle w:val="Normal"/>
              <w:rPr>
                <w:rFonts w:ascii="Arial" w:hAnsi="Arial" w:cs="Arial"/>
                <w:b/>
                <w:b/>
                <w:bCs/>
                <w:i/>
                <w:i/>
                <w:iCs/>
              </w:rPr>
            </w:pPr>
            <w:r>
              <w:rPr>
                <w:rFonts w:cs="Arial" w:ascii="Arial" w:hAnsi="Arial"/>
                <w:b/>
                <w:bCs/>
                <w:i/>
                <w:iCs/>
              </w:rPr>
            </w:r>
          </w:p>
        </w:tc>
      </w:tr>
    </w:tbl>
    <w:p>
      <w:pPr>
        <w:pStyle w:val="Normal"/>
        <w:jc w:val="both"/>
        <w:rPr/>
      </w:pPr>
      <w:r>
        <w:rPr/>
      </w:r>
    </w:p>
    <w:sectPr>
      <w:headerReference w:type="default" r:id="rId8"/>
      <w:footerReference w:type="default" r:id="rId9"/>
      <w:type w:val="nextPage"/>
      <w:pgSz w:w="11906" w:h="16838"/>
      <w:pgMar w:left="1418" w:right="1418" w:header="709" w:top="766" w:footer="709" w:bottom="1077" w:gutter="0"/>
      <w:pgNumType w:fmt="decimal"/>
      <w:formProt w:val="false"/>
      <w:titlePg/>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Calibri">
    <w:charset w:val="01"/>
    <w:family w:val="roman"/>
    <w:pitch w:val="variable"/>
  </w:font>
  <w:font w:name="Black Chancery">
    <w:charset w:val="01"/>
    <w:family w:val="roman"/>
    <w:pitch w:val="variable"/>
  </w:font>
  <w:font w:name="Arial">
    <w:charset w:val="01"/>
    <w:family w:val="roman"/>
    <w:pitch w:val="variable"/>
  </w:font>
  <w:font w:name="Tahoma">
    <w:charset w:val="01"/>
    <w:family w:val="roman"/>
    <w:pitch w:val="variable"/>
  </w:font>
  <w:font w:name="Cambria">
    <w:charset w:val="01"/>
    <w:family w:val="roman"/>
    <w:pitch w:val="variable"/>
  </w:font>
  <w:font w:name="Liberation Sans">
    <w:altName w:val="Arial"/>
    <w:charset w:val="01"/>
    <w:family w:val="swiss"/>
    <w:pitch w:val="variable"/>
  </w:font>
  <w:font w:name="Arial Unicode MS">
    <w:charset w:val="01"/>
    <w:family w:val="roman"/>
    <w:pitch w:val="variable"/>
  </w:font>
  <w:font w:name="Univers">
    <w:charset w:val="01"/>
    <w:family w:val="roman"/>
    <w:pitch w:val="variable"/>
  </w:font>
  <w:font w:name="Trebuchet MS">
    <w:charset w:val="01"/>
    <w:family w:val="roman"/>
    <w:pitch w:val="variable"/>
  </w:font>
  <w:font w:name="Webdings">
    <w:charset w:val="02"/>
    <w:family w:val="auto"/>
    <w:pitch w:val="default"/>
  </w:font>
  <w:font w:name="Wingdings">
    <w:charset w:val="02"/>
    <w:family w:val="auto"/>
    <w:pitch w:val="default"/>
  </w:font>
  <w:font w:name="Times New Roman">
    <w:charset w:val="01"/>
    <w:family w:val="roman"/>
    <w:pitch w:val="default"/>
  </w:font>
  <w:font w:name="Wingdings 3">
    <w:charset w:val="02"/>
    <w:family w:val="auto"/>
    <w:pitch w:val="default"/>
  </w:font>
  <w:font w:name="Symbol">
    <w:charset w:val="02"/>
    <w:family w:val="auto"/>
    <w:pitch w:val="default"/>
  </w:font>
  <w:font w:name="Courier New">
    <w:charset w:val="01"/>
    <w:family w:val="modern"/>
    <w:pitch w:val="fixed"/>
  </w:font>
  <w:font w:name="Arial">
    <w:charset w:val="01"/>
    <w:family w:val="swiss"/>
    <w:pitch w:val="default"/>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Pieddepage"/>
      <w:tabs>
        <w:tab w:val="right" w:pos="9072" w:leader="none"/>
      </w:tabs>
      <w:rPr/>
    </w:pPr>
    <w:r>
      <w:rPr>
        <w:sz w:val="16"/>
      </w:rPr>
      <w:t>CCP</w:t>
    </w:r>
    <w:r>
      <w:rPr>
        <w:b/>
        <w:bCs/>
        <w:color w:val="FF0000"/>
      </w:rPr>
      <w:tab/>
    </w:r>
    <w:r>
      <w:rPr>
        <w:rStyle w:val="Pagenumber"/>
        <w:b/>
        <w:bCs/>
        <w:color w:val="FF0000"/>
      </w:rPr>
      <w:fldChar w:fldCharType="begin"/>
    </w:r>
    <w:r>
      <w:instrText> PAGE </w:instrText>
    </w:r>
    <w:r>
      <w:fldChar w:fldCharType="separate"/>
    </w:r>
    <w:r>
      <w:t>11</w:t>
    </w:r>
    <w:r>
      <w:fldChar w:fldCharType="end"/>
    </w:r>
    <w:r>
      <w:rPr>
        <w:rStyle w:val="Pagenumber"/>
      </w:rPr>
      <w:t>/</w:t>
    </w:r>
    <w:r>
      <w:rPr>
        <w:rStyle w:val="Pagenumber"/>
      </w:rPr>
      <w:fldChar w:fldCharType="begin"/>
    </w:r>
    <w:r>
      <w:instrText> NUMPAGES </w:instrText>
    </w:r>
    <w:r>
      <w:fldChar w:fldCharType="separate"/>
    </w:r>
    <w:r>
      <w:t>11</w:t>
    </w:r>
    <w: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Entte"/>
      <w:tabs>
        <w:tab w:val="center" w:pos="4535" w:leader="none"/>
        <w:tab w:val="right" w:pos="9072" w:leader="none"/>
      </w:tabs>
      <w:rPr>
        <w:rFonts w:ascii="Times New Roman" w:hAnsi="Times New Roman"/>
        <w:bCs/>
        <w:i/>
        <w:i/>
        <w:color w:val="7F7F7F" w:themeColor="text1" w:themeTint="80"/>
        <w:sz w:val="16"/>
      </w:rPr>
    </w:pPr>
    <w:r>
      <w:rPr>
        <w:rFonts w:ascii="Times New Roman" w:hAnsi="Times New Roman"/>
        <w:bCs/>
        <w:i/>
        <w:color w:val="7F7F7F" w:themeColor="text1" w:themeTint="80"/>
        <w:sz w:val="16"/>
      </w:rPr>
      <w:tab/>
      <w:t>Acquisition de jeux et matériels pédagogiques</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pStyle w:val="Titre3"/>
      <w:numFmt w:val="decimal"/>
      <w:lvlText w:val="%2"/>
      <w:lvlJc w:val="left"/>
      <w:pPr>
        <w:ind w:left="420" w:hanging="420"/>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decimal"/>
      <w:lvlText w:val="%1)"/>
      <w:lvlJc w:val="left"/>
      <w:pPr>
        <w:tabs>
          <w:tab w:val="num" w:pos="720"/>
        </w:tabs>
        <w:ind w:left="720" w:hanging="360"/>
      </w:pPr>
    </w:lvl>
    <w:lvl w:ilvl="1">
      <w:start w:val="1"/>
      <w:numFmt w:val="bullet"/>
      <w:lvlText w:val=""/>
      <w:lvlJc w:val="left"/>
      <w:pPr>
        <w:tabs>
          <w:tab w:val="num" w:pos="1515"/>
        </w:tabs>
        <w:ind w:left="1515" w:hanging="435"/>
      </w:pPr>
      <w:rPr>
        <w:rFonts w:ascii="Webdings" w:hAnsi="Webdings" w:cs="Webdings" w:hint="default"/>
        <w:rFonts w:cs="Tahoma"/>
        <w:color w:val="00000A"/>
      </w:rPr>
    </w:lvl>
    <w:lvl w:ilvl="2">
      <w:start w:val="2"/>
      <w:numFmt w:val="decimal"/>
      <w:lvlText w:val="%3"/>
      <w:lvlJc w:val="left"/>
      <w:pPr>
        <w:ind w:left="2340" w:hanging="360"/>
      </w:pPr>
    </w:lvl>
    <w:lvl w:ilvl="3">
      <w:start w:val="1"/>
      <w:numFmt w:val="lowerLetter"/>
      <w:lvlText w:val="%4-"/>
      <w:lvlJc w:val="left"/>
      <w:pPr>
        <w:ind w:left="2880" w:hanging="360"/>
      </w:pPr>
      <w:rPr>
        <w:u w:val="single"/>
        <w:b/>
      </w:rPr>
    </w:lvl>
    <w:lvl w:ilvl="4">
      <w:start w:val="1"/>
      <w:numFmt w:val="lowerLetter"/>
      <w:lvlText w:val="%5)"/>
      <w:lvlJc w:val="left"/>
      <w:pPr>
        <w:ind w:left="3600" w:hanging="360"/>
      </w:pPr>
    </w:lvl>
    <w:lvl w:ilvl="5">
      <w:start w:val="4"/>
      <w:numFmt w:val="bullet"/>
      <w:lvlText w:val=""/>
      <w:lvlJc w:val="left"/>
      <w:pPr>
        <w:ind w:left="4500" w:hanging="360"/>
      </w:pPr>
      <w:rPr>
        <w:rFonts w:ascii="Wingdings" w:hAnsi="Wingdings" w:cs="Wingdings" w:hint="default"/>
        <w:rFonts w:cs="Times New Roman"/>
      </w:r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lvl w:ilvl="0">
      <w:start w:val="2"/>
      <w:numFmt w:val="bullet"/>
      <w:lvlText w:val="-"/>
      <w:lvlJc w:val="left"/>
      <w:pPr>
        <w:ind w:left="644" w:hanging="360"/>
      </w:pPr>
      <w:rPr>
        <w:rFonts w:ascii="Times New Roman" w:hAnsi="Times New Roman" w:cs="Times New Roman" w:hint="default"/>
        <w:rFonts w:cs="Times New Roman"/>
      </w:rPr>
    </w:lvl>
    <w:lvl w:ilvl="1">
      <w:start w:val="12"/>
      <w:numFmt w:val="bullet"/>
      <w:lvlText w:val=""/>
      <w:lvlJc w:val="left"/>
      <w:pPr>
        <w:ind w:left="1364" w:hanging="360"/>
      </w:pPr>
      <w:rPr>
        <w:rFonts w:ascii="Wingdings 3" w:hAnsi="Wingdings 3" w:cs="Wingdings 3" w:hint="default"/>
        <w:rFonts w:cs="Tahoma"/>
      </w:rPr>
    </w:lvl>
    <w:lvl w:ilvl="2">
      <w:start w:val="1"/>
      <w:numFmt w:val="bullet"/>
      <w:lvlText w:val=""/>
      <w:lvlJc w:val="left"/>
      <w:pPr>
        <w:ind w:left="2084" w:hanging="360"/>
      </w:pPr>
      <w:rPr>
        <w:rFonts w:ascii="Wingdings" w:hAnsi="Wingdings" w:cs="Wingdings" w:hint="default"/>
      </w:rPr>
    </w:lvl>
    <w:lvl w:ilvl="3">
      <w:start w:val="1"/>
      <w:numFmt w:val="bullet"/>
      <w:lvlText w:val=""/>
      <w:lvlJc w:val="left"/>
      <w:pPr>
        <w:ind w:left="2804" w:hanging="360"/>
      </w:pPr>
      <w:rPr>
        <w:rFonts w:ascii="Symbol" w:hAnsi="Symbol" w:cs="Symbol" w:hint="default"/>
      </w:rPr>
    </w:lvl>
    <w:lvl w:ilvl="4">
      <w:start w:val="1"/>
      <w:numFmt w:val="bullet"/>
      <w:lvlText w:val="o"/>
      <w:lvlJc w:val="left"/>
      <w:pPr>
        <w:ind w:left="3524" w:hanging="360"/>
      </w:pPr>
      <w:rPr>
        <w:rFonts w:ascii="Courier New" w:hAnsi="Courier New" w:cs="Courier New" w:hint="default"/>
      </w:rPr>
    </w:lvl>
    <w:lvl w:ilvl="5">
      <w:start w:val="1"/>
      <w:numFmt w:val="bullet"/>
      <w:lvlText w:val=""/>
      <w:lvlJc w:val="left"/>
      <w:pPr>
        <w:ind w:left="4244" w:hanging="360"/>
      </w:pPr>
      <w:rPr>
        <w:rFonts w:ascii="Wingdings" w:hAnsi="Wingdings" w:cs="Wingdings" w:hint="default"/>
      </w:rPr>
    </w:lvl>
    <w:lvl w:ilvl="6">
      <w:start w:val="1"/>
      <w:numFmt w:val="bullet"/>
      <w:lvlText w:val=""/>
      <w:lvlJc w:val="left"/>
      <w:pPr>
        <w:ind w:left="4964" w:hanging="360"/>
      </w:pPr>
      <w:rPr>
        <w:rFonts w:ascii="Symbol" w:hAnsi="Symbol" w:cs="Symbol" w:hint="default"/>
      </w:rPr>
    </w:lvl>
    <w:lvl w:ilvl="7">
      <w:start w:val="1"/>
      <w:numFmt w:val="bullet"/>
      <w:lvlText w:val="o"/>
      <w:lvlJc w:val="left"/>
      <w:pPr>
        <w:ind w:left="5684" w:hanging="360"/>
      </w:pPr>
      <w:rPr>
        <w:rFonts w:ascii="Courier New" w:hAnsi="Courier New" w:cs="Courier New" w:hint="default"/>
      </w:rPr>
    </w:lvl>
    <w:lvl w:ilvl="8">
      <w:start w:val="1"/>
      <w:numFmt w:val="bullet"/>
      <w:lvlText w:val=""/>
      <w:lvlJc w:val="left"/>
      <w:pPr>
        <w:ind w:left="6404" w:hanging="360"/>
      </w:pPr>
      <w:rPr>
        <w:rFonts w:ascii="Wingdings" w:hAnsi="Wingdings" w:cs="Wingdings" w:hint="default"/>
      </w:rPr>
    </w:lvl>
  </w:abstractNum>
  <w:abstractNum w:abstractNumId="4">
    <w:lvl w:ilvl="0">
      <w:start w:val="1"/>
      <w:numFmt w:val="lowerLetter"/>
      <w:lvlText w:val="%1)"/>
      <w:lvlJc w:val="left"/>
      <w:pPr>
        <w:tabs>
          <w:tab w:val="num" w:pos="360"/>
        </w:tabs>
        <w:ind w:left="360" w:hanging="360"/>
      </w:pPr>
      <w:rPr>
        <w:sz w:val="18"/>
        <w:b/>
        <w:szCs w:val="20"/>
        <w:bCs/>
        <w:rFonts w:cs="Courier New"/>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5">
    <w:lvl w:ilvl="0">
      <w:start w:val="1"/>
      <w:numFmt w:val="bullet"/>
      <w:lvlText w:val="-"/>
      <w:lvlJc w:val="left"/>
      <w:pPr>
        <w:ind w:left="930" w:hanging="360"/>
      </w:pPr>
      <w:rPr>
        <w:rFonts w:ascii="Arial" w:hAnsi="Arial" w:cs="Arial" w:hint="default"/>
        <w:sz w:val="20"/>
        <w:rFonts w:cs="Arial"/>
      </w:rPr>
    </w:lvl>
    <w:lvl w:ilvl="1">
      <w:start w:val="1"/>
      <w:numFmt w:val="bullet"/>
      <w:lvlText w:val="o"/>
      <w:lvlJc w:val="left"/>
      <w:pPr>
        <w:ind w:left="1650" w:hanging="360"/>
      </w:pPr>
      <w:rPr>
        <w:rFonts w:ascii="Courier New" w:hAnsi="Courier New" w:cs="Courier New" w:hint="default"/>
        <w:rFonts w:cs="Courier New"/>
      </w:rPr>
    </w:lvl>
    <w:lvl w:ilvl="2">
      <w:start w:val="1"/>
      <w:numFmt w:val="bullet"/>
      <w:lvlText w:val=""/>
      <w:lvlJc w:val="left"/>
      <w:pPr>
        <w:ind w:left="2370" w:hanging="360"/>
      </w:pPr>
      <w:rPr>
        <w:rFonts w:ascii="Wingdings" w:hAnsi="Wingdings" w:cs="Wingdings" w:hint="default"/>
      </w:rPr>
    </w:lvl>
    <w:lvl w:ilvl="3">
      <w:start w:val="1"/>
      <w:numFmt w:val="bullet"/>
      <w:lvlText w:val=""/>
      <w:lvlJc w:val="left"/>
      <w:pPr>
        <w:ind w:left="3090" w:hanging="360"/>
      </w:pPr>
      <w:rPr>
        <w:rFonts w:ascii="Symbol" w:hAnsi="Symbol" w:cs="Symbol" w:hint="default"/>
      </w:rPr>
    </w:lvl>
    <w:lvl w:ilvl="4">
      <w:start w:val="1"/>
      <w:numFmt w:val="bullet"/>
      <w:lvlText w:val="o"/>
      <w:lvlJc w:val="left"/>
      <w:pPr>
        <w:ind w:left="3810" w:hanging="360"/>
      </w:pPr>
      <w:rPr>
        <w:rFonts w:ascii="Courier New" w:hAnsi="Courier New" w:cs="Courier New" w:hint="default"/>
        <w:rFonts w:cs="Courier New"/>
      </w:rPr>
    </w:lvl>
    <w:lvl w:ilvl="5">
      <w:start w:val="1"/>
      <w:numFmt w:val="bullet"/>
      <w:lvlText w:val=""/>
      <w:lvlJc w:val="left"/>
      <w:pPr>
        <w:ind w:left="4530" w:hanging="360"/>
      </w:pPr>
      <w:rPr>
        <w:rFonts w:ascii="Wingdings" w:hAnsi="Wingdings" w:cs="Wingdings" w:hint="default"/>
      </w:rPr>
    </w:lvl>
    <w:lvl w:ilvl="6">
      <w:start w:val="1"/>
      <w:numFmt w:val="bullet"/>
      <w:lvlText w:val=""/>
      <w:lvlJc w:val="left"/>
      <w:pPr>
        <w:ind w:left="5250" w:hanging="360"/>
      </w:pPr>
      <w:rPr>
        <w:rFonts w:ascii="Symbol" w:hAnsi="Symbol" w:cs="Symbol" w:hint="default"/>
      </w:rPr>
    </w:lvl>
    <w:lvl w:ilvl="7">
      <w:start w:val="1"/>
      <w:numFmt w:val="bullet"/>
      <w:lvlText w:val="o"/>
      <w:lvlJc w:val="left"/>
      <w:pPr>
        <w:ind w:left="5970" w:hanging="360"/>
      </w:pPr>
      <w:rPr>
        <w:rFonts w:ascii="Courier New" w:hAnsi="Courier New" w:cs="Courier New" w:hint="default"/>
        <w:rFonts w:cs="Courier New"/>
      </w:rPr>
    </w:lvl>
    <w:lvl w:ilvl="8">
      <w:start w:val="1"/>
      <w:numFmt w:val="bullet"/>
      <w:lvlText w:val=""/>
      <w:lvlJc w:val="left"/>
      <w:pPr>
        <w:ind w:left="6690" w:hanging="360"/>
      </w:pPr>
      <w:rPr>
        <w:rFonts w:ascii="Wingdings" w:hAnsi="Wingdings" w:cs="Wingdings" w:hint="default"/>
      </w:rPr>
    </w:lvl>
  </w:abstractNum>
  <w:abstractNum w:abstractNumId="6">
    <w:lvl w:ilvl="0">
      <w:start w:val="1"/>
      <w:numFmt w:val="decimal"/>
      <w:lvlText w:val="%1)"/>
      <w:lvlJc w:val="left"/>
      <w:pPr>
        <w:tabs>
          <w:tab w:val="num" w:pos="1065"/>
        </w:tabs>
        <w:ind w:left="1065" w:hanging="705"/>
      </w:pPr>
      <w:rPr>
        <w:b w:val="false"/>
      </w:rPr>
    </w:lvl>
    <w:lvl w:ilvl="1">
      <w:start w:val="1"/>
      <w:numFmt w:val="lowerLetter"/>
      <w:lvlText w:val="%2."/>
      <w:lvlJc w:val="left"/>
      <w:pPr>
        <w:tabs>
          <w:tab w:val="num" w:pos="1440"/>
        </w:tabs>
        <w:ind w:left="1440" w:hanging="360"/>
      </w:pPr>
    </w:lvl>
    <w:lvl w:ilvl="2">
      <w:start w:val="1"/>
      <w:numFmt w:val="lowerLetter"/>
      <w:lvlText w:val="%3)"/>
      <w:lvlJc w:val="left"/>
      <w:pPr>
        <w:tabs>
          <w:tab w:val="num" w:pos="2340"/>
        </w:tabs>
        <w:ind w:left="2340" w:hanging="360"/>
      </w:pPr>
      <w:rPr>
        <w:rFonts w:eastAsia="Times New Roman" w:cs="Tahoma"/>
      </w:rPr>
    </w:lvl>
    <w:lvl w:ilvl="3">
      <w:start w:val="1"/>
      <w:numFmt w:val="lowerLetter"/>
      <w:lvlText w:val="%4)"/>
      <w:lvlJc w:val="left"/>
      <w:pPr>
        <w:tabs>
          <w:tab w:val="num" w:pos="2880"/>
        </w:tabs>
        <w:ind w:left="2880" w:hanging="360"/>
      </w:pPr>
      <w:rPr>
        <w:b/>
        <w:rFonts w:cs="Calibri"/>
        <w:color w:val="00000A"/>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ind w:left="1460" w:hanging="360"/>
      </w:pPr>
    </w:lvl>
    <w:lvl w:ilvl="1">
      <w:start w:val="5"/>
      <w:numFmt w:val="decimal"/>
      <w:lvlText w:val="%1.%2"/>
      <w:lvlJc w:val="left"/>
      <w:pPr>
        <w:ind w:left="1820" w:hanging="720"/>
      </w:pPr>
      <w:rPr>
        <w:rFonts w:cs="Tahoma"/>
      </w:rPr>
    </w:lvl>
    <w:lvl w:ilvl="2">
      <w:start w:val="6"/>
      <w:numFmt w:val="decimal"/>
      <w:lvlText w:val="%1.%2.%3"/>
      <w:lvlJc w:val="left"/>
      <w:pPr>
        <w:ind w:left="1820" w:hanging="720"/>
      </w:pPr>
      <w:rPr>
        <w:rFonts w:cs="Tahoma"/>
      </w:rPr>
    </w:lvl>
    <w:lvl w:ilvl="3">
      <w:start w:val="1"/>
      <w:numFmt w:val="decimal"/>
      <w:lvlText w:val="%1.%2.%3.%4"/>
      <w:lvlJc w:val="left"/>
      <w:pPr>
        <w:ind w:left="2180" w:hanging="1080"/>
      </w:pPr>
      <w:rPr>
        <w:rFonts w:cs="Tahoma"/>
      </w:rPr>
    </w:lvl>
    <w:lvl w:ilvl="4">
      <w:start w:val="1"/>
      <w:numFmt w:val="decimal"/>
      <w:lvlText w:val="%1.%2.%3.%4.%5"/>
      <w:lvlJc w:val="left"/>
      <w:pPr>
        <w:ind w:left="2540" w:hanging="1440"/>
      </w:pPr>
      <w:rPr>
        <w:rFonts w:cs="Tahoma"/>
      </w:rPr>
    </w:lvl>
    <w:lvl w:ilvl="5">
      <w:start w:val="1"/>
      <w:numFmt w:val="decimal"/>
      <w:lvlText w:val="%1.%2.%3.%4.%5.%6"/>
      <w:lvlJc w:val="left"/>
      <w:pPr>
        <w:ind w:left="2540" w:hanging="1440"/>
      </w:pPr>
      <w:rPr>
        <w:rFonts w:cs="Tahoma"/>
      </w:rPr>
    </w:lvl>
    <w:lvl w:ilvl="6">
      <w:start w:val="1"/>
      <w:numFmt w:val="decimal"/>
      <w:lvlText w:val="%1.%2.%3.%4.%5.%6.%7"/>
      <w:lvlJc w:val="left"/>
      <w:pPr>
        <w:ind w:left="2900" w:hanging="1800"/>
      </w:pPr>
      <w:rPr>
        <w:rFonts w:cs="Tahoma"/>
      </w:rPr>
    </w:lvl>
    <w:lvl w:ilvl="7">
      <w:start w:val="1"/>
      <w:numFmt w:val="decimal"/>
      <w:lvlText w:val="%1.%2.%3.%4.%5.%6.%7.%8"/>
      <w:lvlJc w:val="left"/>
      <w:pPr>
        <w:ind w:left="3260" w:hanging="2160"/>
      </w:pPr>
      <w:rPr>
        <w:rFonts w:cs="Tahoma"/>
      </w:rPr>
    </w:lvl>
    <w:lvl w:ilvl="8">
      <w:start w:val="1"/>
      <w:numFmt w:val="decimal"/>
      <w:lvlText w:val="%1.%2.%3.%4.%5.%6.%7.%8.%9"/>
      <w:lvlJc w:val="left"/>
      <w:pPr>
        <w:ind w:left="3620" w:hanging="2520"/>
      </w:pPr>
      <w:rPr>
        <w:rFonts w:cs="Tahoma"/>
      </w:rPr>
    </w:lvl>
  </w:abstractNum>
  <w:abstractNum w:abstractNumId="8">
    <w:lvl w:ilvl="0">
      <w:start w:val="1"/>
      <w:numFmt w:val="decimal"/>
      <w:lvlText w:val="%1"/>
      <w:lvlJc w:val="left"/>
      <w:pPr>
        <w:ind w:left="420" w:hanging="420"/>
      </w:pPr>
    </w:lvl>
    <w:lvl w:ilvl="1">
      <w:start w:val="1"/>
      <w:numFmt w:val="decimal"/>
      <w:lvlText w:val="%1.%2"/>
      <w:lvlJc w:val="left"/>
      <w:pPr>
        <w:ind w:left="420" w:hanging="420"/>
      </w:pPr>
    </w:lvl>
    <w:lvl w:ilvl="2">
      <w:start w:val="1"/>
      <w:numFmt w:val="upperLetter"/>
      <w:lvlText w:val="%1.%2.%3"/>
      <w:lvlJc w:val="left"/>
      <w:pPr>
        <w:ind w:left="720" w:hanging="720"/>
      </w:pPr>
    </w:lvl>
    <w:lvl w:ilvl="3">
      <w:start w:val="1"/>
      <w:numFmt w:val="upperLetter"/>
      <w:lvlText w:val="%1.%2.%3.%4"/>
      <w:lvlJc w:val="left"/>
      <w:pPr>
        <w:ind w:left="720" w:hanging="720"/>
      </w:pPr>
    </w:lvl>
    <w:lvl w:ilvl="4">
      <w:start w:val="1"/>
      <w:numFmt w:val="upperLetter"/>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abstractNum w:abstractNumId="9">
    <w:lvl w:ilvl="0">
      <w:start w:val="1"/>
      <w:numFmt w:val="decimal"/>
      <w:lvlText w:val="%1)"/>
      <w:lvlJc w:val="left"/>
      <w:pPr>
        <w:ind w:left="1065" w:hanging="705"/>
      </w:pPr>
      <w:rPr>
        <w:b w:val="false"/>
      </w:rPr>
    </w:lvl>
    <w:lvl w:ilvl="1">
      <w:start w:val="1"/>
      <w:numFmt w:val="lowerLetter"/>
      <w:lvlText w:val="%2."/>
      <w:lvlJc w:val="left"/>
      <w:pPr>
        <w:ind w:left="1440" w:hanging="360"/>
      </w:pPr>
    </w:lvl>
    <w:lvl w:ilvl="2">
      <w:start w:val="1"/>
      <w:numFmt w:val="lowerLetter"/>
      <w:lvlText w:val="%3)"/>
      <w:lvlJc w:val="left"/>
      <w:pPr>
        <w:ind w:left="2340" w:hanging="360"/>
      </w:pPr>
      <w:rPr>
        <w:rFonts w:eastAsia="Times New Roman" w:cs="Tahoma"/>
      </w:rPr>
    </w:lvl>
    <w:lvl w:ilvl="3">
      <w:start w:val="1"/>
      <w:numFmt w:val="lowerLetter"/>
      <w:lvlText w:val="%4)"/>
      <w:lvlJc w:val="left"/>
      <w:pPr>
        <w:ind w:left="2880" w:hanging="360"/>
      </w:pPr>
      <w:rPr>
        <w:b w:val="false"/>
        <w:rFonts w:cs="Calibri"/>
        <w:color w:val="00000A"/>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w="http://schemas.openxmlformats.org/wordprocessingml/2006/main">
  <w:zoom w:percent="132"/>
  <w:defaultTabStop w:val="708"/>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fr-FR" w:eastAsia="fr-FR"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9" w:semiHidden="0" w:unhideWhenUsed="0" w:qFormat="1"/>
    <w:lsdException w:name="heading 3" w:uiPriority="9" w:semiHidden="0" w:unhideWhenUsed="0" w:qFormat="1"/>
    <w:lsdException w:name="heading 4" w:uiPriority="9" w:semiHidden="0" w:unhideWhenUsed="0" w:qFormat="1"/>
    <w:lsdException w:name="heading 5" w:uiPriority="9" w:semiHidden="0" w:unhideWhenUsed="0" w:qFormat="1"/>
    <w:lsdException w:name="heading 6" w:uiPriority="9" w:semiHidden="0" w:unhideWhenUsed="0" w:qFormat="1"/>
    <w:lsdException w:name="heading 7" w:uiPriority="9" w:semiHidden="0" w:unhideWhenUsed="0" w:qFormat="1"/>
    <w:lsdException w:name="heading 8" w:uiPriority="0" w:semiHidden="0" w:unhideWhenUsed="0" w:qFormat="1"/>
    <w:lsdException w:name="heading 9" w:uiPriority="9" w:semiHidden="0" w:unhideWhenUsed="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semiHidden="0" w:unhideWhenUsed="0" w:qFormat="1"/>
    <w:lsdException w:name="footnote reference" w:uiPriority="0"/>
    <w:lsdException w:name="Title" w:uiPriority="10" w:semiHidden="0" w:unhideWhenUsed="0" w:qFormat="1"/>
    <w:lsdException w:name="Default Paragraph Font" w:uiPriority="1"/>
    <w:lsdException w:name="Body Text Indent" w:uiPriority="0"/>
    <w:lsdException w:name="Subtitle" w:uiPriority="0" w:semiHidden="0" w:unhideWhenUsed="0" w:qFormat="1"/>
    <w:lsdException w:name="Body Text Indent 2" w:uiPriority="0"/>
    <w:lsdException w:name="Strong" w:uiPriority="22" w:semiHidden="0" w:unhideWhenUsed="0" w:qFormat="1"/>
    <w:lsdException w:name="Emphasis" w:uiPriority="20" w:semiHidden="0" w:unhideWhenUsed="0" w:qFormat="1"/>
    <w:lsdException w:name="Normal (Web)" w:uiPriority="0"/>
    <w:lsdException w:name="Table Grid" w:uiPriority="0"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e256c1"/>
    <w:pPr>
      <w:widowControl/>
      <w:bidi w:val="0"/>
      <w:jc w:val="left"/>
    </w:pPr>
    <w:rPr>
      <w:rFonts w:ascii="Calibri" w:hAnsi="Calibri" w:asciiTheme="minorHAnsi" w:hAnsiTheme="minorHAnsi" w:eastAsia="Times New Roman" w:cs="Times New Roman"/>
      <w:color w:val="auto"/>
      <w:sz w:val="22"/>
      <w:szCs w:val="24"/>
      <w:lang w:val="fr-FR" w:eastAsia="fr-FR" w:bidi="ar-SA"/>
    </w:rPr>
  </w:style>
  <w:style w:type="paragraph" w:styleId="Titre1">
    <w:name w:val="Heading 1"/>
    <w:basedOn w:val="Normal"/>
    <w:next w:val="Normal"/>
    <w:qFormat/>
    <w:rsid w:val="00381a07"/>
    <w:pPr>
      <w:keepNext/>
      <w:jc w:val="center"/>
      <w:outlineLvl w:val="0"/>
    </w:pPr>
    <w:rPr>
      <w:rFonts w:ascii="Calibri" w:hAnsi="Calibri" w:cs="Tahoma"/>
      <w:b/>
      <w:bCs/>
      <w:sz w:val="36"/>
      <w:u w:val="single"/>
    </w:rPr>
  </w:style>
  <w:style w:type="paragraph" w:styleId="Titre2">
    <w:name w:val="Heading 2"/>
    <w:basedOn w:val="Normal"/>
    <w:next w:val="Normal"/>
    <w:qFormat/>
    <w:rsid w:val="0047195f"/>
    <w:pPr>
      <w:keepNext/>
      <w:pBdr>
        <w:top w:val="single" w:sz="4" w:space="1" w:color="00000A"/>
        <w:bottom w:val="single" w:sz="4" w:space="1" w:color="00000A"/>
      </w:pBdr>
      <w:ind w:left="1100" w:hanging="0"/>
      <w:jc w:val="center"/>
      <w:outlineLvl w:val="1"/>
    </w:pPr>
    <w:rPr>
      <w:b/>
      <w:i/>
      <w:iCs/>
      <w:color w:val="FF0000"/>
      <w:sz w:val="52"/>
    </w:rPr>
  </w:style>
  <w:style w:type="paragraph" w:styleId="Titre3">
    <w:name w:val="Heading 3"/>
    <w:basedOn w:val="Normal"/>
    <w:next w:val="Normal"/>
    <w:autoRedefine/>
    <w:qFormat/>
    <w:rsid w:val="00a42503"/>
    <w:pPr>
      <w:keepNext/>
      <w:numPr>
        <w:ilvl w:val="1"/>
        <w:numId w:val="1"/>
      </w:numPr>
      <w:ind w:left="0" w:firstLine="6"/>
      <w:outlineLvl w:val="1"/>
      <w:outlineLvl w:val="1"/>
    </w:pPr>
    <w:rPr>
      <w:b/>
      <w:bCs/>
      <w:iCs/>
      <w:sz w:val="28"/>
      <w:u w:val="single"/>
    </w:rPr>
  </w:style>
  <w:style w:type="paragraph" w:styleId="Titre4">
    <w:name w:val="Heading 4"/>
    <w:basedOn w:val="Normal"/>
    <w:next w:val="Normal"/>
    <w:qFormat/>
    <w:rsid w:val="002f1970"/>
    <w:pPr>
      <w:keepNext/>
      <w:ind w:left="40" w:firstLine="660"/>
      <w:outlineLvl w:val="3"/>
    </w:pPr>
    <w:rPr>
      <w:rFonts w:cs="Tahoma"/>
      <w:b/>
      <w:bCs/>
    </w:rPr>
  </w:style>
  <w:style w:type="paragraph" w:styleId="Titre5">
    <w:name w:val="Heading 5"/>
    <w:basedOn w:val="Normal"/>
    <w:next w:val="Normal"/>
    <w:qFormat/>
    <w:rsid w:val="002f1970"/>
    <w:pPr>
      <w:keepNext/>
      <w:tabs>
        <w:tab w:val="left" w:pos="4290" w:leader="none"/>
      </w:tabs>
      <w:ind w:left="1100" w:hanging="0"/>
      <w:jc w:val="both"/>
      <w:outlineLvl w:val="4"/>
    </w:pPr>
    <w:rPr>
      <w:rFonts w:ascii="Times New Roman" w:hAnsi="Times New Roman"/>
      <w:b/>
      <w:bCs/>
      <w:i/>
      <w:iCs/>
    </w:rPr>
  </w:style>
  <w:style w:type="paragraph" w:styleId="Titre6">
    <w:name w:val="Heading 6"/>
    <w:basedOn w:val="Normal"/>
    <w:next w:val="Normal"/>
    <w:qFormat/>
    <w:rsid w:val="002f1970"/>
    <w:pPr>
      <w:keepNext/>
      <w:jc w:val="center"/>
      <w:outlineLvl w:val="5"/>
    </w:pPr>
    <w:rPr>
      <w:b/>
      <w:bCs/>
    </w:rPr>
  </w:style>
  <w:style w:type="paragraph" w:styleId="Titre7">
    <w:name w:val="Heading 7"/>
    <w:basedOn w:val="Normal"/>
    <w:next w:val="Normal"/>
    <w:qFormat/>
    <w:rsid w:val="002f1970"/>
    <w:pPr>
      <w:keepNext/>
      <w:ind w:left="1100" w:hanging="0"/>
      <w:jc w:val="center"/>
      <w:outlineLvl w:val="6"/>
    </w:pPr>
    <w:rPr>
      <w:rFonts w:ascii="Black Chancery" w:hAnsi="Black Chancery" w:cs="Tahoma"/>
      <w:sz w:val="52"/>
    </w:rPr>
  </w:style>
  <w:style w:type="paragraph" w:styleId="Titre8">
    <w:name w:val="Heading 8"/>
    <w:basedOn w:val="Normal"/>
    <w:next w:val="Normal"/>
    <w:autoRedefine/>
    <w:qFormat/>
    <w:rsid w:val="00d27474"/>
    <w:pPr>
      <w:keepNext/>
      <w:tabs>
        <w:tab w:val="left" w:pos="4290" w:leader="none"/>
      </w:tabs>
      <w:jc w:val="both"/>
      <w:outlineLvl w:val="7"/>
    </w:pPr>
    <w:rPr>
      <w:bCs/>
      <w:iCs/>
      <w:szCs w:val="22"/>
    </w:rPr>
  </w:style>
  <w:style w:type="paragraph" w:styleId="Titre9">
    <w:name w:val="Heading 9"/>
    <w:basedOn w:val="Normal"/>
    <w:next w:val="Normal"/>
    <w:qFormat/>
    <w:rsid w:val="002f1970"/>
    <w:pPr>
      <w:keepNext/>
      <w:ind w:left="1065" w:hanging="0"/>
      <w:outlineLvl w:val="8"/>
    </w:pPr>
    <w:rPr>
      <w:b/>
      <w:bCs/>
    </w:rPr>
  </w:style>
  <w:style w:type="character" w:styleId="DefaultParagraphFont" w:default="1">
    <w:name w:val="Default Paragraph Font"/>
    <w:uiPriority w:val="1"/>
    <w:semiHidden/>
    <w:unhideWhenUsed/>
    <w:qFormat/>
    <w:rPr/>
  </w:style>
  <w:style w:type="character" w:styleId="Annotationreference">
    <w:name w:val="annotation reference"/>
    <w:basedOn w:val="DefaultParagraphFont"/>
    <w:semiHidden/>
    <w:qFormat/>
    <w:rsid w:val="002f1970"/>
    <w:rPr>
      <w:sz w:val="16"/>
      <w:szCs w:val="16"/>
    </w:rPr>
  </w:style>
  <w:style w:type="character" w:styleId="Pagenumber">
    <w:name w:val="page number"/>
    <w:basedOn w:val="DefaultParagraphFont"/>
    <w:semiHidden/>
    <w:qFormat/>
    <w:rsid w:val="002f1970"/>
    <w:rPr/>
  </w:style>
  <w:style w:type="character" w:styleId="LienInternet">
    <w:name w:val="Lien Internet"/>
    <w:basedOn w:val="DefaultParagraphFont"/>
    <w:uiPriority w:val="99"/>
    <w:rsid w:val="002f1970"/>
    <w:rPr>
      <w:color w:val="0000FF"/>
      <w:u w:val="single"/>
    </w:rPr>
  </w:style>
  <w:style w:type="character" w:styleId="FollowedHyperlink">
    <w:name w:val="FollowedHyperlink"/>
    <w:basedOn w:val="DefaultParagraphFont"/>
    <w:uiPriority w:val="99"/>
    <w:semiHidden/>
    <w:unhideWhenUsed/>
    <w:qFormat/>
    <w:rsid w:val="00ae366f"/>
    <w:rPr>
      <w:color w:val="800080"/>
      <w:u w:val="single"/>
    </w:rPr>
  </w:style>
  <w:style w:type="character" w:styleId="SoustitreCar" w:customStyle="1">
    <w:name w:val="Sous-titre Car"/>
    <w:basedOn w:val="DefaultParagraphFont"/>
    <w:link w:val="Sous-titre"/>
    <w:qFormat/>
    <w:rsid w:val="00d94d73"/>
    <w:rPr>
      <w:rFonts w:ascii="Arial" w:hAnsi="Arial" w:cs="Arial"/>
      <w:b/>
      <w:bCs/>
      <w:sz w:val="22"/>
      <w:szCs w:val="24"/>
    </w:rPr>
  </w:style>
  <w:style w:type="character" w:styleId="CitationintenseCar" w:customStyle="1">
    <w:name w:val="Citation intense Car"/>
    <w:basedOn w:val="DefaultParagraphFont"/>
    <w:link w:val="Citationintense"/>
    <w:uiPriority w:val="30"/>
    <w:qFormat/>
    <w:rsid w:val="00382cd4"/>
    <w:rPr>
      <w:rFonts w:ascii="Tahoma" w:hAnsi="Tahoma"/>
      <w:b/>
      <w:bCs/>
      <w:i/>
      <w:iCs/>
      <w:color w:val="4F81BD" w:themeColor="accent1"/>
      <w:sz w:val="22"/>
      <w:szCs w:val="24"/>
    </w:rPr>
  </w:style>
  <w:style w:type="character" w:styleId="EntteCar" w:customStyle="1">
    <w:name w:val="En-tête Car"/>
    <w:basedOn w:val="DefaultParagraphFont"/>
    <w:link w:val="En-tte"/>
    <w:semiHidden/>
    <w:qFormat/>
    <w:rsid w:val="00975610"/>
    <w:rPr>
      <w:rFonts w:ascii="Tahoma" w:hAnsi="Tahoma"/>
      <w:sz w:val="22"/>
      <w:szCs w:val="24"/>
    </w:rPr>
  </w:style>
  <w:style w:type="character" w:styleId="NotedebasdepageCar" w:customStyle="1">
    <w:name w:val="Note de bas de page Car"/>
    <w:basedOn w:val="DefaultParagraphFont"/>
    <w:link w:val="Notedebasdepage"/>
    <w:semiHidden/>
    <w:qFormat/>
    <w:rsid w:val="00ff3160"/>
    <w:rPr>
      <w:sz w:val="16"/>
      <w:szCs w:val="16"/>
    </w:rPr>
  </w:style>
  <w:style w:type="character" w:styleId="Footnotereference">
    <w:name w:val="footnote reference"/>
    <w:basedOn w:val="DefaultParagraphFont"/>
    <w:semiHidden/>
    <w:qFormat/>
    <w:rsid w:val="00ff3160"/>
    <w:rPr>
      <w:vertAlign w:val="superscript"/>
    </w:rPr>
  </w:style>
  <w:style w:type="character" w:styleId="CommentaireCar" w:customStyle="1">
    <w:name w:val="Commentaire Car"/>
    <w:basedOn w:val="DefaultParagraphFont"/>
    <w:link w:val="Commentaire"/>
    <w:semiHidden/>
    <w:qFormat/>
    <w:rsid w:val="009616b7"/>
    <w:rPr>
      <w:rFonts w:ascii="Tahoma" w:hAnsi="Tahoma"/>
    </w:rPr>
  </w:style>
  <w:style w:type="character" w:styleId="ObjetducommentaireCar" w:customStyle="1">
    <w:name w:val="Objet du commentaire Car"/>
    <w:basedOn w:val="CommentaireCar"/>
    <w:link w:val="Objetducommentaire"/>
    <w:qFormat/>
    <w:rsid w:val="009616b7"/>
    <w:rPr>
      <w:rFonts w:ascii="Tahoma" w:hAnsi="Tahoma"/>
    </w:rPr>
  </w:style>
  <w:style w:type="character" w:styleId="TextedebullesCar" w:customStyle="1">
    <w:name w:val="Texte de bulles Car"/>
    <w:basedOn w:val="DefaultParagraphFont"/>
    <w:link w:val="Textedebulles"/>
    <w:uiPriority w:val="99"/>
    <w:semiHidden/>
    <w:qFormat/>
    <w:rsid w:val="009616b7"/>
    <w:rPr>
      <w:rFonts w:ascii="Tahoma" w:hAnsi="Tahoma" w:cs="Tahoma"/>
      <w:sz w:val="16"/>
      <w:szCs w:val="16"/>
    </w:rPr>
  </w:style>
  <w:style w:type="character" w:styleId="SubtleReference">
    <w:name w:val="Subtle Reference"/>
    <w:basedOn w:val="DefaultParagraphFont"/>
    <w:uiPriority w:val="31"/>
    <w:qFormat/>
    <w:rsid w:val="00bb6e65"/>
    <w:rPr>
      <w:rFonts w:ascii="Calibri" w:hAnsi="Calibri" w:asciiTheme="minorHAnsi" w:hAnsiTheme="minorHAnsi"/>
      <w:u w:val="dotted"/>
    </w:rPr>
  </w:style>
  <w:style w:type="character" w:styleId="TitreCar" w:customStyle="1">
    <w:name w:val="Titre Car"/>
    <w:basedOn w:val="DefaultParagraphFont"/>
    <w:link w:val="Titre"/>
    <w:uiPriority w:val="10"/>
    <w:qFormat/>
    <w:rsid w:val="00e15961"/>
    <w:rPr>
      <w:rFonts w:ascii="Cambria" w:hAnsi="Cambria" w:eastAsia="" w:cs="" w:asciiTheme="majorHAnsi" w:cstheme="majorBidi" w:eastAsiaTheme="majorEastAsia" w:hAnsiTheme="majorHAnsi"/>
      <w:color w:val="17365D" w:themeColor="text2" w:themeShade="bf"/>
      <w:spacing w:val="5"/>
      <w:sz w:val="52"/>
      <w:szCs w:val="52"/>
    </w:rPr>
  </w:style>
  <w:style w:type="character" w:styleId="RetraitcorpsdetexteCar" w:customStyle="1">
    <w:name w:val="Retrait corps de texte Car"/>
    <w:basedOn w:val="DefaultParagraphFont"/>
    <w:link w:val="Retraitcorpsdetexte"/>
    <w:semiHidden/>
    <w:qFormat/>
    <w:rsid w:val="00556f2f"/>
    <w:rPr>
      <w:rFonts w:ascii="Tahoma" w:hAnsi="Tahoma"/>
      <w:sz w:val="22"/>
      <w:szCs w:val="24"/>
    </w:rPr>
  </w:style>
  <w:style w:type="character" w:styleId="Retraitcorpsdetexte2Car" w:customStyle="1">
    <w:name w:val="Retrait corps de texte 2 Car"/>
    <w:basedOn w:val="DefaultParagraphFont"/>
    <w:link w:val="Retraitcorpsdetexte2"/>
    <w:semiHidden/>
    <w:qFormat/>
    <w:rsid w:val="00541ea3"/>
    <w:rPr>
      <w:rFonts w:ascii="Calibri" w:hAnsi="Calibri" w:cs="Tahoma" w:asciiTheme="minorHAnsi" w:hAnsiTheme="minorHAnsi"/>
      <w:sz w:val="22"/>
      <w:szCs w:val="24"/>
    </w:rPr>
  </w:style>
  <w:style w:type="character" w:styleId="HTMLCite">
    <w:name w:val="HTML Cite"/>
    <w:basedOn w:val="DefaultParagraphFont"/>
    <w:uiPriority w:val="99"/>
    <w:semiHidden/>
    <w:unhideWhenUsed/>
    <w:qFormat/>
    <w:rsid w:val="002958d4"/>
    <w:rPr>
      <w:i/>
      <w:iCs/>
    </w:rPr>
  </w:style>
  <w:style w:type="character" w:styleId="ListLabel1">
    <w:name w:val="ListLabel 1"/>
    <w:qFormat/>
    <w:rPr>
      <w:rFonts w:eastAsia="Times New Roman" w:cs="Times New Roman"/>
    </w:rPr>
  </w:style>
  <w:style w:type="character" w:styleId="ListLabel2">
    <w:name w:val="ListLabel 2"/>
    <w:qFormat/>
    <w:rPr>
      <w:b w:val="false"/>
    </w:rPr>
  </w:style>
  <w:style w:type="character" w:styleId="ListLabel3">
    <w:name w:val="ListLabel 3"/>
    <w:qFormat/>
    <w:rPr>
      <w:rFonts w:eastAsia="Times New Roman" w:cs="Tahoma"/>
    </w:rPr>
  </w:style>
  <w:style w:type="character" w:styleId="ListLabel4">
    <w:name w:val="ListLabel 4"/>
    <w:qFormat/>
    <w:rPr>
      <w:b w:val="false"/>
      <w:color w:val="00000A"/>
    </w:rPr>
  </w:style>
  <w:style w:type="character" w:styleId="ListLabel5">
    <w:name w:val="ListLabel 5"/>
    <w:qFormat/>
    <w:rPr>
      <w:rFonts w:eastAsia="Times New Roman" w:cs="Times New Roman"/>
    </w:rPr>
  </w:style>
  <w:style w:type="character" w:styleId="ListLabel6">
    <w:name w:val="ListLabel 6"/>
    <w:qFormat/>
    <w:rPr>
      <w:rFonts w:eastAsia="Times New Roman" w:cs="Tahoma"/>
      <w:color w:val="00000A"/>
    </w:rPr>
  </w:style>
  <w:style w:type="character" w:styleId="ListLabel7">
    <w:name w:val="ListLabel 7"/>
    <w:qFormat/>
    <w:rPr>
      <w:b/>
      <w:u w:val="single"/>
    </w:rPr>
  </w:style>
  <w:style w:type="character" w:styleId="ListLabel8">
    <w:name w:val="ListLabel 8"/>
    <w:qFormat/>
    <w:rPr>
      <w:rFonts w:eastAsia="Trebuchet MS" w:cs="Times New Roman"/>
    </w:rPr>
  </w:style>
  <w:style w:type="character" w:styleId="ListLabel9">
    <w:name w:val="ListLabel 9"/>
    <w:qFormat/>
    <w:rPr>
      <w:rFonts w:eastAsia="Times New Roman" w:cs="Times New Roman"/>
    </w:rPr>
  </w:style>
  <w:style w:type="character" w:styleId="ListLabel10">
    <w:name w:val="ListLabel 10"/>
    <w:qFormat/>
    <w:rPr>
      <w:rFonts w:eastAsia="Times New Roman" w:cs="Tahoma"/>
    </w:rPr>
  </w:style>
  <w:style w:type="character" w:styleId="ListLabel11">
    <w:name w:val="ListLabel 11"/>
    <w:qFormat/>
    <w:rPr>
      <w:rFonts w:eastAsia="Times New Roman" w:cs="Times New Roman"/>
    </w:rPr>
  </w:style>
  <w:style w:type="character" w:styleId="ListLabel12">
    <w:name w:val="ListLabel 12"/>
    <w:qFormat/>
    <w:rPr>
      <w:rFonts w:eastAsia="Times New Roman" w:cs="Tahoma"/>
    </w:rPr>
  </w:style>
  <w:style w:type="character" w:styleId="ListLabel13">
    <w:name w:val="ListLabel 13"/>
    <w:qFormat/>
    <w:rPr>
      <w:rFonts w:cs="Courier New"/>
      <w:b/>
      <w:bCs/>
      <w:sz w:val="18"/>
      <w:szCs w:val="20"/>
    </w:rPr>
  </w:style>
  <w:style w:type="character" w:styleId="ListLabel14">
    <w:name w:val="ListLabel 14"/>
    <w:qFormat/>
    <w:rPr>
      <w:rFonts w:cs="Times New Roman"/>
    </w:rPr>
  </w:style>
  <w:style w:type="character" w:styleId="ListLabel15">
    <w:name w:val="ListLabel 15"/>
    <w:qFormat/>
    <w:rPr>
      <w:rFonts w:cs="Times New Roman"/>
    </w:rPr>
  </w:style>
  <w:style w:type="character" w:styleId="ListLabel16">
    <w:name w:val="ListLabel 16"/>
    <w:qFormat/>
    <w:rPr>
      <w:rFonts w:cs="Times New Roman"/>
    </w:rPr>
  </w:style>
  <w:style w:type="character" w:styleId="ListLabel17">
    <w:name w:val="ListLabel 17"/>
    <w:qFormat/>
    <w:rPr>
      <w:rFonts w:cs="Times New Roman"/>
    </w:rPr>
  </w:style>
  <w:style w:type="character" w:styleId="ListLabel18">
    <w:name w:val="ListLabel 18"/>
    <w:qFormat/>
    <w:rPr>
      <w:rFonts w:cs="Times New Roman"/>
    </w:rPr>
  </w:style>
  <w:style w:type="character" w:styleId="ListLabel19">
    <w:name w:val="ListLabel 19"/>
    <w:qFormat/>
    <w:rPr>
      <w:rFonts w:cs="Times New Roman"/>
    </w:rPr>
  </w:style>
  <w:style w:type="character" w:styleId="ListLabel20">
    <w:name w:val="ListLabel 20"/>
    <w:qFormat/>
    <w:rPr>
      <w:rFonts w:cs="Times New Roman"/>
    </w:rPr>
  </w:style>
  <w:style w:type="character" w:styleId="ListLabel21">
    <w:name w:val="ListLabel 21"/>
    <w:qFormat/>
    <w:rPr>
      <w:rFonts w:cs="Times New Roman"/>
    </w:rPr>
  </w:style>
  <w:style w:type="character" w:styleId="ListLabel22">
    <w:name w:val="ListLabel 22"/>
    <w:qFormat/>
    <w:rPr>
      <w:rFonts w:eastAsia="Times New Roman" w:cs="Arial"/>
      <w:sz w:val="20"/>
    </w:rPr>
  </w:style>
  <w:style w:type="character" w:styleId="ListLabel23">
    <w:name w:val="ListLabel 23"/>
    <w:qFormat/>
    <w:rPr>
      <w:rFonts w:cs="Courier New"/>
    </w:rPr>
  </w:style>
  <w:style w:type="character" w:styleId="ListLabel24">
    <w:name w:val="ListLabel 24"/>
    <w:qFormat/>
    <w:rPr>
      <w:rFonts w:cs="Courier New"/>
    </w:rPr>
  </w:style>
  <w:style w:type="character" w:styleId="ListLabel25">
    <w:name w:val="ListLabel 25"/>
    <w:qFormat/>
    <w:rPr>
      <w:rFonts w:cs="Courier New"/>
    </w:rPr>
  </w:style>
  <w:style w:type="character" w:styleId="ListLabel26">
    <w:name w:val="ListLabel 26"/>
    <w:qFormat/>
    <w:rPr>
      <w:b w:val="false"/>
    </w:rPr>
  </w:style>
  <w:style w:type="character" w:styleId="ListLabel27">
    <w:name w:val="ListLabel 27"/>
    <w:qFormat/>
    <w:rPr>
      <w:rFonts w:eastAsia="Times New Roman" w:cs="Tahoma"/>
    </w:rPr>
  </w:style>
  <w:style w:type="character" w:styleId="ListLabel28">
    <w:name w:val="ListLabel 28"/>
    <w:qFormat/>
    <w:rPr>
      <w:rFonts w:cs="Calibri"/>
      <w:b/>
      <w:color w:val="00000A"/>
    </w:rPr>
  </w:style>
  <w:style w:type="character" w:styleId="ListLabel29">
    <w:name w:val="ListLabel 29"/>
    <w:qFormat/>
    <w:rPr>
      <w:rFonts w:eastAsia="Times New Roman" w:cs="Times New Roman"/>
    </w:rPr>
  </w:style>
  <w:style w:type="character" w:styleId="ListLabel30">
    <w:name w:val="ListLabel 30"/>
    <w:qFormat/>
    <w:rPr>
      <w:rFonts w:cs="Courier New"/>
    </w:rPr>
  </w:style>
  <w:style w:type="character" w:styleId="ListLabel31">
    <w:name w:val="ListLabel 31"/>
    <w:qFormat/>
    <w:rPr>
      <w:rFonts w:cs="Courier New"/>
    </w:rPr>
  </w:style>
  <w:style w:type="character" w:styleId="ListLabel32">
    <w:name w:val="ListLabel 32"/>
    <w:qFormat/>
    <w:rPr>
      <w:rFonts w:cs="Courier New"/>
    </w:rPr>
  </w:style>
  <w:style w:type="character" w:styleId="ListLabel33">
    <w:name w:val="ListLabel 33"/>
    <w:qFormat/>
    <w:rPr>
      <w:rFonts w:cs="Tahoma"/>
    </w:rPr>
  </w:style>
  <w:style w:type="character" w:styleId="ListLabel34">
    <w:name w:val="ListLabel 34"/>
    <w:qFormat/>
    <w:rPr>
      <w:rFonts w:cs="Tahoma"/>
    </w:rPr>
  </w:style>
  <w:style w:type="character" w:styleId="ListLabel35">
    <w:name w:val="ListLabel 35"/>
    <w:qFormat/>
    <w:rPr>
      <w:rFonts w:cs="Tahoma"/>
    </w:rPr>
  </w:style>
  <w:style w:type="character" w:styleId="ListLabel36">
    <w:name w:val="ListLabel 36"/>
    <w:qFormat/>
    <w:rPr>
      <w:rFonts w:cs="Tahoma"/>
    </w:rPr>
  </w:style>
  <w:style w:type="character" w:styleId="ListLabel37">
    <w:name w:val="ListLabel 37"/>
    <w:qFormat/>
    <w:rPr>
      <w:rFonts w:cs="Tahoma"/>
    </w:rPr>
  </w:style>
  <w:style w:type="character" w:styleId="ListLabel38">
    <w:name w:val="ListLabel 38"/>
    <w:qFormat/>
    <w:rPr>
      <w:rFonts w:cs="Tahoma"/>
    </w:rPr>
  </w:style>
  <w:style w:type="character" w:styleId="ListLabel39">
    <w:name w:val="ListLabel 39"/>
    <w:qFormat/>
    <w:rPr>
      <w:rFonts w:cs="Tahoma"/>
    </w:rPr>
  </w:style>
  <w:style w:type="character" w:styleId="ListLabel40">
    <w:name w:val="ListLabel 40"/>
    <w:qFormat/>
    <w:rPr>
      <w:rFonts w:cs="Tahoma"/>
    </w:rPr>
  </w:style>
  <w:style w:type="character" w:styleId="ListLabel41">
    <w:name w:val="ListLabel 41"/>
    <w:qFormat/>
    <w:rPr>
      <w:rFonts w:eastAsia="Times New Roman" w:cs="Tahoma"/>
    </w:rPr>
  </w:style>
  <w:style w:type="character" w:styleId="ListLabel42">
    <w:name w:val="ListLabel 42"/>
    <w:qFormat/>
    <w:rPr>
      <w:rFonts w:cs="Tahoma"/>
    </w:rPr>
  </w:style>
  <w:style w:type="character" w:styleId="ListLabel43">
    <w:name w:val="ListLabel 43"/>
    <w:qFormat/>
    <w:rPr>
      <w:rFonts w:cs="Tahoma"/>
    </w:rPr>
  </w:style>
  <w:style w:type="character" w:styleId="ListLabel44">
    <w:name w:val="ListLabel 44"/>
    <w:qFormat/>
    <w:rPr>
      <w:rFonts w:cs="Tahoma"/>
    </w:rPr>
  </w:style>
  <w:style w:type="character" w:styleId="ListLabel45">
    <w:name w:val="ListLabel 45"/>
    <w:qFormat/>
    <w:rPr>
      <w:rFonts w:cs="Tahoma"/>
    </w:rPr>
  </w:style>
  <w:style w:type="character" w:styleId="ListLabel46">
    <w:name w:val="ListLabel 46"/>
    <w:qFormat/>
    <w:rPr>
      <w:rFonts w:cs="Tahoma"/>
    </w:rPr>
  </w:style>
  <w:style w:type="character" w:styleId="ListLabel47">
    <w:name w:val="ListLabel 47"/>
    <w:qFormat/>
    <w:rPr>
      <w:rFonts w:cs="Tahoma"/>
    </w:rPr>
  </w:style>
  <w:style w:type="character" w:styleId="ListLabel48">
    <w:name w:val="ListLabel 48"/>
    <w:qFormat/>
    <w:rPr>
      <w:rFonts w:cs="Tahoma"/>
    </w:rPr>
  </w:style>
  <w:style w:type="character" w:styleId="ListLabel49">
    <w:name w:val="ListLabel 49"/>
    <w:qFormat/>
    <w:rPr>
      <w:rFonts w:cs="Tahoma"/>
    </w:rPr>
  </w:style>
  <w:style w:type="character" w:styleId="ListLabel50">
    <w:name w:val="ListLabel 50"/>
    <w:qFormat/>
    <w:rPr>
      <w:rFonts w:eastAsia="Times New Roman" w:cs="Times New Roman"/>
    </w:rPr>
  </w:style>
  <w:style w:type="character" w:styleId="ListLabel51">
    <w:name w:val="ListLabel 51"/>
    <w:qFormat/>
    <w:rPr>
      <w:rFonts w:cs="Courier New"/>
    </w:rPr>
  </w:style>
  <w:style w:type="character" w:styleId="ListLabel52">
    <w:name w:val="ListLabel 52"/>
    <w:qFormat/>
    <w:rPr>
      <w:rFonts w:cs="Courier New"/>
    </w:rPr>
  </w:style>
  <w:style w:type="character" w:styleId="ListLabel53">
    <w:name w:val="ListLabel 53"/>
    <w:qFormat/>
    <w:rPr>
      <w:rFonts w:cs="Courier New"/>
    </w:rPr>
  </w:style>
  <w:style w:type="character" w:styleId="ListLabel54">
    <w:name w:val="ListLabel 54"/>
    <w:qFormat/>
    <w:rPr>
      <w:b w:val="false"/>
      <w:i w:val="false"/>
    </w:rPr>
  </w:style>
  <w:style w:type="character" w:styleId="ListLabel55">
    <w:name w:val="ListLabel 55"/>
    <w:qFormat/>
    <w:rPr>
      <w:rFonts w:eastAsia="Times New Roman" w:cs="Tahoma"/>
    </w:rPr>
  </w:style>
  <w:style w:type="character" w:styleId="ListLabel56">
    <w:name w:val="ListLabel 56"/>
    <w:qFormat/>
    <w:rPr>
      <w:rFonts w:eastAsia="Times New Roman" w:cs="Tahoma"/>
    </w:rPr>
  </w:style>
  <w:style w:type="character" w:styleId="ListLabel57">
    <w:name w:val="ListLabel 57"/>
    <w:qFormat/>
    <w:rPr>
      <w:b w:val="false"/>
    </w:rPr>
  </w:style>
  <w:style w:type="character" w:styleId="ListLabel58">
    <w:name w:val="ListLabel 58"/>
    <w:qFormat/>
    <w:rPr>
      <w:rFonts w:eastAsia="Times New Roman" w:cs="Tahoma"/>
    </w:rPr>
  </w:style>
  <w:style w:type="character" w:styleId="ListLabel59">
    <w:name w:val="ListLabel 59"/>
    <w:qFormat/>
    <w:rPr>
      <w:rFonts w:cs="Calibri"/>
      <w:b w:val="false"/>
      <w:color w:val="00000A"/>
    </w:rPr>
  </w:style>
  <w:style w:type="character" w:styleId="ListLabel60">
    <w:name w:val="ListLabel 60"/>
    <w:qFormat/>
    <w:rPr>
      <w:rFonts w:eastAsia="Times New Roman" w:cs="Times New Roman"/>
    </w:rPr>
  </w:style>
  <w:style w:type="character" w:styleId="Sautdindex">
    <w:name w:val="Saut d'index"/>
    <w:qFormat/>
    <w:rPr/>
  </w:style>
  <w:style w:type="paragraph" w:styleId="Titre">
    <w:name w:val="Titre"/>
    <w:basedOn w:val="Normal"/>
    <w:next w:val="Corpsdetexte"/>
    <w:qFormat/>
    <w:pPr>
      <w:keepNext/>
      <w:spacing w:before="240" w:after="120"/>
    </w:pPr>
    <w:rPr>
      <w:rFonts w:ascii="Liberation Sans" w:hAnsi="Liberation Sans" w:eastAsia="WenQuanYi Micro Hei" w:cs="Lohit Devanagari"/>
      <w:sz w:val="28"/>
      <w:szCs w:val="28"/>
    </w:rPr>
  </w:style>
  <w:style w:type="paragraph" w:styleId="Corpsdetexte">
    <w:name w:val="Body Text"/>
    <w:basedOn w:val="Normal"/>
    <w:semiHidden/>
    <w:rsid w:val="002f1970"/>
    <w:pPr>
      <w:jc w:val="both"/>
    </w:pPr>
    <w:rPr>
      <w:rFonts w:cs="Tahoma"/>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
    <w:name w:val="Header"/>
    <w:basedOn w:val="Normal"/>
    <w:link w:val="En-tteCar"/>
    <w:semiHidden/>
    <w:rsid w:val="002f1970"/>
    <w:pPr>
      <w:tabs>
        <w:tab w:val="center" w:pos="4536" w:leader="none"/>
        <w:tab w:val="right" w:pos="9072" w:leader="none"/>
      </w:tabs>
    </w:pPr>
    <w:rPr/>
  </w:style>
  <w:style w:type="paragraph" w:styleId="Retraitdecorpsdetexte">
    <w:name w:val="Body Text Indent"/>
    <w:basedOn w:val="Normal"/>
    <w:link w:val="RetraitcorpsdetexteCar"/>
    <w:semiHidden/>
    <w:rsid w:val="002f1970"/>
    <w:pPr>
      <w:ind w:left="1065" w:hanging="0"/>
    </w:pPr>
    <w:rPr/>
  </w:style>
  <w:style w:type="paragraph" w:styleId="BodyTextIndent3">
    <w:name w:val="Body Text Indent 3"/>
    <w:basedOn w:val="Normal"/>
    <w:semiHidden/>
    <w:qFormat/>
    <w:rsid w:val="002f1970"/>
    <w:pPr>
      <w:tabs>
        <w:tab w:val="left" w:pos="5103" w:leader="none"/>
      </w:tabs>
      <w:ind w:left="142" w:hanging="0"/>
      <w:jc w:val="both"/>
    </w:pPr>
    <w:rPr>
      <w:rFonts w:ascii="Arial" w:hAnsi="Arial"/>
      <w:sz w:val="20"/>
      <w:szCs w:val="20"/>
    </w:rPr>
  </w:style>
  <w:style w:type="paragraph" w:styleId="BodyTextIndent2">
    <w:name w:val="Body Text Indent 2"/>
    <w:basedOn w:val="Normal"/>
    <w:link w:val="Retraitcorpsdetexte2Car"/>
    <w:semiHidden/>
    <w:qFormat/>
    <w:rsid w:val="002f1970"/>
    <w:pPr>
      <w:ind w:left="660" w:hanging="0"/>
    </w:pPr>
    <w:rPr>
      <w:rFonts w:cs="Tahoma"/>
    </w:rPr>
  </w:style>
  <w:style w:type="paragraph" w:styleId="Annotationtext">
    <w:name w:val="annotation text"/>
    <w:basedOn w:val="Normal"/>
    <w:link w:val="CommentaireCar"/>
    <w:semiHidden/>
    <w:qFormat/>
    <w:rsid w:val="002f1970"/>
    <w:pPr/>
    <w:rPr>
      <w:sz w:val="20"/>
      <w:szCs w:val="20"/>
    </w:rPr>
  </w:style>
  <w:style w:type="paragraph" w:styleId="Caption">
    <w:name w:val="caption"/>
    <w:basedOn w:val="Normal"/>
    <w:next w:val="Normal"/>
    <w:qFormat/>
    <w:rsid w:val="002f1970"/>
    <w:pPr>
      <w:keepNext/>
      <w:keepLines/>
      <w:pBdr>
        <w:top w:val="double" w:sz="6" w:space="1" w:color="00000A"/>
        <w:bottom w:val="double" w:sz="6" w:space="1" w:color="00000A"/>
      </w:pBdr>
    </w:pPr>
    <w:rPr>
      <w:rFonts w:ascii="Times New Roman" w:hAnsi="Times New Roman"/>
      <w:b/>
      <w:szCs w:val="20"/>
    </w:rPr>
  </w:style>
  <w:style w:type="paragraph" w:styleId="Pieddepage">
    <w:name w:val="Footer"/>
    <w:basedOn w:val="Normal"/>
    <w:semiHidden/>
    <w:rsid w:val="002f1970"/>
    <w:pPr>
      <w:tabs>
        <w:tab w:val="center" w:pos="4536" w:leader="none"/>
        <w:tab w:val="right" w:pos="9072" w:leader="none"/>
      </w:tabs>
    </w:pPr>
    <w:rPr/>
  </w:style>
  <w:style w:type="paragraph" w:styleId="BodyText2">
    <w:name w:val="Body Text 2"/>
    <w:basedOn w:val="Normal"/>
    <w:semiHidden/>
    <w:qFormat/>
    <w:rsid w:val="002f1970"/>
    <w:pPr>
      <w:jc w:val="center"/>
    </w:pPr>
    <w:rPr>
      <w:b/>
      <w:bCs/>
      <w:color w:val="FF00FF"/>
      <w:u w:val="single"/>
    </w:rPr>
  </w:style>
  <w:style w:type="paragraph" w:styleId="NormalWeb">
    <w:name w:val="Normal (Web)"/>
    <w:basedOn w:val="Normal"/>
    <w:qFormat/>
    <w:rsid w:val="002f1970"/>
    <w:pPr>
      <w:spacing w:beforeAutospacing="1" w:afterAutospacing="1"/>
    </w:pPr>
    <w:rPr>
      <w:rFonts w:ascii="Arial Unicode MS" w:hAnsi="Arial Unicode MS" w:eastAsia="Arial Unicode MS" w:cs="Arial Unicode MS"/>
      <w:sz w:val="24"/>
    </w:rPr>
  </w:style>
  <w:style w:type="paragraph" w:styleId="Soustitre">
    <w:name w:val="Subtitle"/>
    <w:basedOn w:val="Normal"/>
    <w:link w:val="Sous-titreCar"/>
    <w:qFormat/>
    <w:rsid w:val="00d94d73"/>
    <w:pPr>
      <w:tabs>
        <w:tab w:val="left" w:pos="4111" w:leader="none"/>
      </w:tabs>
      <w:snapToGrid w:val="false"/>
      <w:jc w:val="center"/>
    </w:pPr>
    <w:rPr>
      <w:rFonts w:ascii="Arial" w:hAnsi="Arial" w:cs="Arial"/>
      <w:b/>
      <w:bCs/>
    </w:rPr>
  </w:style>
  <w:style w:type="paragraph" w:styleId="Normal2" w:customStyle="1">
    <w:name w:val="Normal2"/>
    <w:basedOn w:val="Normal"/>
    <w:qFormat/>
    <w:rsid w:val="00b11dbb"/>
    <w:pPr>
      <w:keepLines/>
      <w:tabs>
        <w:tab w:val="left" w:pos="567" w:leader="none"/>
        <w:tab w:val="left" w:pos="851" w:leader="none"/>
        <w:tab w:val="left" w:pos="1134" w:leader="none"/>
      </w:tabs>
      <w:ind w:left="284" w:firstLine="284"/>
      <w:jc w:val="both"/>
    </w:pPr>
    <w:rPr>
      <w:rFonts w:ascii="Times New Roman" w:hAnsi="Times New Roman"/>
      <w:szCs w:val="20"/>
    </w:rPr>
  </w:style>
  <w:style w:type="paragraph" w:styleId="Normal3" w:customStyle="1">
    <w:name w:val="Normal3"/>
    <w:basedOn w:val="Normal"/>
    <w:qFormat/>
    <w:rsid w:val="00056902"/>
    <w:pPr>
      <w:keepLines/>
      <w:tabs>
        <w:tab w:val="left" w:pos="851" w:leader="none"/>
        <w:tab w:val="left" w:pos="1134" w:leader="none"/>
        <w:tab w:val="left" w:pos="1418" w:leader="none"/>
      </w:tabs>
      <w:ind w:left="567" w:firstLine="284"/>
      <w:jc w:val="both"/>
    </w:pPr>
    <w:rPr>
      <w:rFonts w:ascii="Times New Roman" w:hAnsi="Times New Roman"/>
      <w:szCs w:val="20"/>
    </w:rPr>
  </w:style>
  <w:style w:type="paragraph" w:styleId="IntenseQuote">
    <w:name w:val="Intense Quote"/>
    <w:basedOn w:val="Normal"/>
    <w:next w:val="Normal"/>
    <w:link w:val="CitationintenseCar"/>
    <w:uiPriority w:val="30"/>
    <w:qFormat/>
    <w:rsid w:val="00382cd4"/>
    <w:pPr>
      <w:pBdr>
        <w:bottom w:val="single" w:sz="4" w:space="4" w:color="4F81BD"/>
      </w:pBdr>
      <w:spacing w:before="200" w:after="280"/>
      <w:ind w:left="936" w:right="936" w:hanging="0"/>
    </w:pPr>
    <w:rPr>
      <w:b/>
      <w:bCs/>
      <w:i/>
      <w:iCs/>
      <w:color w:val="4F81BD" w:themeColor="accent1"/>
    </w:rPr>
  </w:style>
  <w:style w:type="paragraph" w:styleId="Footnotetext">
    <w:name w:val="footnote text"/>
    <w:basedOn w:val="Normal"/>
    <w:link w:val="NotedebasdepageCar"/>
    <w:semiHidden/>
    <w:qFormat/>
    <w:rsid w:val="00ff3160"/>
    <w:pPr/>
    <w:rPr>
      <w:rFonts w:ascii="Times New Roman" w:hAnsi="Times New Roman"/>
      <w:sz w:val="16"/>
      <w:szCs w:val="16"/>
    </w:rPr>
  </w:style>
  <w:style w:type="paragraph" w:styleId="Normal1" w:customStyle="1">
    <w:name w:val="Normal1"/>
    <w:basedOn w:val="Normal"/>
    <w:autoRedefine/>
    <w:qFormat/>
    <w:rsid w:val="009047bd"/>
    <w:pPr>
      <w:keepLines/>
      <w:tabs>
        <w:tab w:val="left" w:pos="284" w:leader="none"/>
        <w:tab w:val="left" w:pos="567" w:leader="none"/>
        <w:tab w:val="left" w:pos="851" w:leader="none"/>
      </w:tabs>
      <w:ind w:firstLine="284"/>
      <w:jc w:val="both"/>
    </w:pPr>
    <w:rPr>
      <w:szCs w:val="22"/>
    </w:rPr>
  </w:style>
  <w:style w:type="paragraph" w:styleId="TabulationPoints2" w:customStyle="1">
    <w:name w:val="Tabulation - Points 2"/>
    <w:basedOn w:val="Normal"/>
    <w:qFormat/>
    <w:rsid w:val="00c13c0e"/>
    <w:pPr>
      <w:tabs>
        <w:tab w:val="left" w:pos="9072" w:leader="dot"/>
      </w:tabs>
    </w:pPr>
    <w:rPr>
      <w:rFonts w:ascii="Times New Roman" w:hAnsi="Times New Roman"/>
      <w:szCs w:val="22"/>
    </w:rPr>
  </w:style>
  <w:style w:type="paragraph" w:styleId="ListParagraph">
    <w:name w:val="List Paragraph"/>
    <w:basedOn w:val="Normal"/>
    <w:next w:val="Titre"/>
    <w:uiPriority w:val="34"/>
    <w:qFormat/>
    <w:rsid w:val="00e15961"/>
    <w:pPr>
      <w:spacing w:before="0" w:after="0"/>
      <w:ind w:left="720" w:hanging="0"/>
      <w:contextualSpacing/>
    </w:pPr>
    <w:rPr/>
  </w:style>
  <w:style w:type="paragraph" w:styleId="Annotationsubject">
    <w:name w:val="annotation subject"/>
    <w:basedOn w:val="Annotationtext"/>
    <w:link w:val="ObjetducommentaireCar"/>
    <w:uiPriority w:val="99"/>
    <w:semiHidden/>
    <w:unhideWhenUsed/>
    <w:qFormat/>
    <w:rsid w:val="009616b7"/>
    <w:pPr/>
    <w:rPr>
      <w:b/>
      <w:bCs/>
    </w:rPr>
  </w:style>
  <w:style w:type="paragraph" w:styleId="BalloonText">
    <w:name w:val="Balloon Text"/>
    <w:basedOn w:val="Normal"/>
    <w:link w:val="TextedebullesCar"/>
    <w:uiPriority w:val="99"/>
    <w:semiHidden/>
    <w:unhideWhenUsed/>
    <w:qFormat/>
    <w:rsid w:val="009616b7"/>
    <w:pPr/>
    <w:rPr>
      <w:rFonts w:cs="Tahoma"/>
      <w:sz w:val="16"/>
      <w:szCs w:val="16"/>
    </w:rPr>
  </w:style>
  <w:style w:type="paragraph" w:styleId="Fcase1ertab" w:customStyle="1">
    <w:name w:val="f_case_1ertab"/>
    <w:basedOn w:val="Normal"/>
    <w:qFormat/>
    <w:rsid w:val="000b6143"/>
    <w:pPr>
      <w:tabs>
        <w:tab w:val="left" w:pos="426" w:leader="none"/>
      </w:tabs>
      <w:suppressAutoHyphens w:val="true"/>
      <w:ind w:left="709" w:hanging="709"/>
      <w:jc w:val="both"/>
    </w:pPr>
    <w:rPr>
      <w:rFonts w:ascii="Univers" w:hAnsi="Univers" w:cs="Univers"/>
      <w:sz w:val="20"/>
      <w:szCs w:val="20"/>
      <w:lang w:eastAsia="zh-CN"/>
    </w:rPr>
  </w:style>
  <w:style w:type="paragraph" w:styleId="Titreprincipal">
    <w:name w:val="Title"/>
    <w:basedOn w:val="Normal"/>
    <w:next w:val="Normal"/>
    <w:link w:val="TitreCar"/>
    <w:uiPriority w:val="10"/>
    <w:qFormat/>
    <w:rsid w:val="00e15961"/>
    <w:pPr>
      <w:pBdr>
        <w:bottom w:val="single" w:sz="8" w:space="4" w:color="4F81BD"/>
      </w:pBdr>
      <w:spacing w:before="0" w:after="300"/>
      <w:contextualSpacing/>
    </w:pPr>
    <w:rPr>
      <w:rFonts w:ascii="Cambria" w:hAnsi="Cambria" w:eastAsia="" w:cs="" w:asciiTheme="majorHAnsi" w:cstheme="majorBidi" w:eastAsiaTheme="majorEastAsia" w:hAnsiTheme="majorHAnsi"/>
      <w:color w:val="17365D" w:themeColor="text2" w:themeShade="bf"/>
      <w:spacing w:val="5"/>
      <w:sz w:val="52"/>
      <w:szCs w:val="52"/>
    </w:rPr>
  </w:style>
  <w:style w:type="paragraph" w:styleId="TOCHeading">
    <w:name w:val="TOC Heading"/>
    <w:basedOn w:val="Titre1"/>
    <w:next w:val="Normal"/>
    <w:uiPriority w:val="39"/>
    <w:semiHidden/>
    <w:unhideWhenUsed/>
    <w:qFormat/>
    <w:rsid w:val="0047195f"/>
    <w:pPr>
      <w:keepLines/>
      <w:spacing w:lineRule="auto" w:line="276" w:before="480" w:after="0"/>
      <w:jc w:val="left"/>
    </w:pPr>
    <w:rPr>
      <w:rFonts w:ascii="Cambria" w:hAnsi="Cambria" w:eastAsia="" w:cs="" w:asciiTheme="majorHAnsi" w:cstheme="majorBidi" w:eastAsiaTheme="majorEastAsia" w:hAnsiTheme="majorHAnsi"/>
      <w:color w:val="365F91" w:themeColor="accent1" w:themeShade="bf"/>
      <w:sz w:val="28"/>
      <w:szCs w:val="28"/>
      <w:u w:val="none"/>
      <w:lang w:eastAsia="en-US"/>
    </w:rPr>
  </w:style>
  <w:style w:type="paragraph" w:styleId="Tabledesmatiresniveau2">
    <w:name w:val="TOC 2"/>
    <w:basedOn w:val="Normal"/>
    <w:next w:val="Normal"/>
    <w:autoRedefine/>
    <w:uiPriority w:val="39"/>
    <w:unhideWhenUsed/>
    <w:qFormat/>
    <w:rsid w:val="0047195f"/>
    <w:pPr>
      <w:spacing w:lineRule="auto" w:line="276" w:before="0" w:after="100"/>
      <w:ind w:left="220" w:hanging="0"/>
    </w:pPr>
    <w:rPr>
      <w:rFonts w:eastAsia="" w:cs="" w:cstheme="minorBidi" w:eastAsiaTheme="minorEastAsia"/>
      <w:szCs w:val="22"/>
      <w:lang w:eastAsia="en-US"/>
    </w:rPr>
  </w:style>
  <w:style w:type="paragraph" w:styleId="Tabledesmatiresniveau1">
    <w:name w:val="TOC 1"/>
    <w:basedOn w:val="Normal"/>
    <w:next w:val="Normal"/>
    <w:autoRedefine/>
    <w:uiPriority w:val="39"/>
    <w:unhideWhenUsed/>
    <w:qFormat/>
    <w:rsid w:val="00fc51d7"/>
    <w:pPr>
      <w:tabs>
        <w:tab w:val="left" w:pos="440" w:leader="none"/>
        <w:tab w:val="right" w:pos="9060" w:leader="dot"/>
      </w:tabs>
      <w:spacing w:lineRule="auto" w:line="276" w:before="0" w:after="100"/>
    </w:pPr>
    <w:rPr>
      <w:rFonts w:eastAsia="" w:cs="" w:cstheme="minorBidi" w:eastAsiaTheme="minorEastAsia"/>
      <w:b/>
      <w:szCs w:val="22"/>
      <w:lang w:eastAsia="en-US"/>
    </w:rPr>
  </w:style>
  <w:style w:type="paragraph" w:styleId="Tabledesmatiresniveau3">
    <w:name w:val="TOC 3"/>
    <w:basedOn w:val="Normal"/>
    <w:next w:val="Normal"/>
    <w:autoRedefine/>
    <w:uiPriority w:val="39"/>
    <w:unhideWhenUsed/>
    <w:qFormat/>
    <w:rsid w:val="0047195f"/>
    <w:pPr>
      <w:spacing w:lineRule="auto" w:line="276" w:before="0" w:after="100"/>
      <w:ind w:left="440" w:hanging="0"/>
    </w:pPr>
    <w:rPr>
      <w:rFonts w:eastAsia="" w:cs="" w:cstheme="minorBidi" w:eastAsiaTheme="minorEastAsia"/>
      <w:szCs w:val="22"/>
      <w:lang w:eastAsia="en-US"/>
    </w:rPr>
  </w:style>
  <w:style w:type="paragraph" w:styleId="ParagrapheIndent2" w:customStyle="1">
    <w:name w:val="ParagrapheIndent2"/>
    <w:basedOn w:val="Normal"/>
    <w:next w:val="Normal"/>
    <w:qFormat/>
    <w:rsid w:val="002958d4"/>
    <w:pPr/>
    <w:rPr>
      <w:rFonts w:ascii="Trebuchet MS" w:hAnsi="Trebuchet MS" w:eastAsia="Trebuchet MS" w:cs="Trebuchet MS"/>
      <w:sz w:val="20"/>
      <w:lang w:val="en-US" w:eastAsia="en-US"/>
    </w:rPr>
  </w:style>
  <w:style w:type="numbering" w:styleId="NoList" w:default="1">
    <w:name w:val="No List"/>
    <w:uiPriority w:val="99"/>
    <w:semiHidden/>
    <w:unhideWhenUsed/>
    <w:qFormat/>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table" w:styleId="Grilledutableau">
    <w:name w:val="Table Grid"/>
    <w:basedOn w:val="TableauNormal"/>
    <w:rsid w:val="003f567a"/>
    <w:tblPr>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hyperlink" Target="https://chorus-pro.gouv.fr/" TargetMode="External"/><Relationship Id="rId4" Type="http://schemas.openxmlformats.org/officeDocument/2006/relationships/hyperlink" Target="https://chorus-pro.gouv.fr/" TargetMode="External"/><Relationship Id="rId5" Type="http://schemas.openxmlformats.org/officeDocument/2006/relationships/hyperlink" Target="https://chorus-pro.gouv.fr/" TargetMode="External"/><Relationship Id="rId6" Type="http://schemas.openxmlformats.org/officeDocument/2006/relationships/hyperlink" Target="https://chorus-pro.gouv.fr/" TargetMode="External"/><Relationship Id="rId7" Type="http://schemas.openxmlformats.org/officeDocument/2006/relationships/hyperlink" Target="https://chorus-pro.gouv.fr/" TargetMode="Externa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numbering" Target="numbering.xml"/><Relationship Id="rId11" Type="http://schemas.openxmlformats.org/officeDocument/2006/relationships/fontTable" Target="fontTable.xml"/><Relationship Id="rId12" Type="http://schemas.openxmlformats.org/officeDocument/2006/relationships/settings" Target="settings.xml"/><Relationship Id="rId13" Type="http://schemas.openxmlformats.org/officeDocument/2006/relationships/theme" Target="theme/theme1.xml"/><Relationship Id="rId14" Type="http://schemas.openxmlformats.org/officeDocument/2006/relationships/customXml" Target="../customXml/item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46DDB-6CBD-4785-B143-A00F386136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Application>LibreOffice/5.1.6.2$Linux_X86_64 LibreOffice_project/10m0$Build-2</Application>
  <Pages>11</Pages>
  <Words>3795</Words>
  <CharactersWithSpaces>21131</CharactersWithSpaces>
  <Paragraphs>49</Paragraphs>
  <Company>Mairie de Champs</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2020-02-20T10:44:00Z</dcterms:created>
  <dc:creator>ftestard</dc:creator>
  <dc:description/>
  <dc:language>fr-FR</dc:language>
  <cp:lastModifiedBy>Francine TESTARD</cp:lastModifiedBy>
  <cp:lastPrinted>2017-02-09T08:09:00Z</cp:lastPrinted>
  <dcterms:modified xsi:type="dcterms:W3CDTF">2020-02-26T13:40:00Z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Mairie de Champs</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